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BD0D" w14:textId="77777777" w:rsidR="00BA26E5" w:rsidRDefault="00371F96" w:rsidP="001F1B8A">
      <w:pPr>
        <w:pStyle w:val="Maintitle"/>
        <w:rPr>
          <w:sz w:val="40"/>
          <w:szCs w:val="40"/>
        </w:rPr>
      </w:pPr>
      <w:r>
        <w:rPr>
          <w:sz w:val="40"/>
          <w:szCs w:val="40"/>
          <w:lang w:bidi="ar-SA"/>
        </w:rPr>
        <w:drawing>
          <wp:anchor distT="0" distB="0" distL="114300" distR="114300" simplePos="0" relativeHeight="251658240" behindDoc="1" locked="0" layoutInCell="1" allowOverlap="1" wp14:anchorId="18DD8464" wp14:editId="052CAF92">
            <wp:simplePos x="0" y="0"/>
            <wp:positionH relativeFrom="column">
              <wp:posOffset>5502910</wp:posOffset>
            </wp:positionH>
            <wp:positionV relativeFrom="paragraph">
              <wp:posOffset>225637</wp:posOffset>
            </wp:positionV>
            <wp:extent cx="1229995" cy="818515"/>
            <wp:effectExtent l="0" t="0" r="825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s Logo.png"/>
                    <pic:cNvPicPr/>
                  </pic:nvPicPr>
                  <pic:blipFill>
                    <a:blip r:embed="rId11">
                      <a:extLst>
                        <a:ext uri="{28A0092B-C50C-407E-A947-70E740481C1C}">
                          <a14:useLocalDpi xmlns:a14="http://schemas.microsoft.com/office/drawing/2010/main" val="0"/>
                        </a:ext>
                      </a:extLst>
                    </a:blip>
                    <a:stretch>
                      <a:fillRect/>
                    </a:stretch>
                  </pic:blipFill>
                  <pic:spPr>
                    <a:xfrm>
                      <a:off x="0" y="0"/>
                      <a:ext cx="1229995" cy="818515"/>
                    </a:xfrm>
                    <a:prstGeom prst="rect">
                      <a:avLst/>
                    </a:prstGeom>
                  </pic:spPr>
                </pic:pic>
              </a:graphicData>
            </a:graphic>
            <wp14:sizeRelH relativeFrom="page">
              <wp14:pctWidth>0</wp14:pctWidth>
            </wp14:sizeRelH>
            <wp14:sizeRelV relativeFrom="page">
              <wp14:pctHeight>0</wp14:pctHeight>
            </wp14:sizeRelV>
          </wp:anchor>
        </w:drawing>
      </w:r>
    </w:p>
    <w:p w14:paraId="2F3B8AC5" w14:textId="77777777" w:rsidR="00014D42" w:rsidRDefault="0063349B" w:rsidP="00014D42">
      <w:pPr>
        <w:pStyle w:val="Maintitle"/>
        <w:rPr>
          <w:sz w:val="40"/>
          <w:szCs w:val="40"/>
        </w:rPr>
      </w:pPr>
      <w:r>
        <w:rPr>
          <w:sz w:val="40"/>
          <w:szCs w:val="40"/>
        </w:rPr>
        <w:t xml:space="preserve">CDFW </w:t>
      </w:r>
      <w:r w:rsidR="007B7FE6">
        <w:rPr>
          <w:sz w:val="40"/>
          <w:szCs w:val="40"/>
        </w:rPr>
        <w:t>Terrestrial</w:t>
      </w:r>
      <w:r>
        <w:rPr>
          <w:sz w:val="40"/>
          <w:szCs w:val="40"/>
        </w:rPr>
        <w:t>-</w:t>
      </w:r>
      <w:r w:rsidR="00B721AF">
        <w:rPr>
          <w:sz w:val="40"/>
          <w:szCs w:val="40"/>
        </w:rPr>
        <w:t xml:space="preserve"> Sites </w:t>
      </w:r>
      <w:r w:rsidR="007375C0">
        <w:rPr>
          <w:sz w:val="40"/>
          <w:szCs w:val="40"/>
        </w:rPr>
        <w:t>60 day Evaluation</w:t>
      </w:r>
      <w:r w:rsidR="00014D42">
        <w:rPr>
          <w:sz w:val="40"/>
          <w:szCs w:val="40"/>
        </w:rPr>
        <w:t xml:space="preserve"> </w:t>
      </w:r>
    </w:p>
    <w:p w14:paraId="1A476263" w14:textId="77777777" w:rsidR="00152E74" w:rsidRDefault="007375C0" w:rsidP="00014D42">
      <w:pPr>
        <w:pStyle w:val="Maintitle"/>
        <w:rPr>
          <w:sz w:val="40"/>
          <w:szCs w:val="40"/>
        </w:rPr>
      </w:pPr>
      <w:r>
        <w:rPr>
          <w:sz w:val="40"/>
          <w:szCs w:val="40"/>
        </w:rPr>
        <w:t xml:space="preserve">Meeting </w:t>
      </w:r>
      <w:r w:rsidR="00811FDA">
        <w:rPr>
          <w:sz w:val="40"/>
          <w:szCs w:val="40"/>
        </w:rPr>
        <w:t>No.</w:t>
      </w:r>
      <w:r w:rsidR="000452EC">
        <w:rPr>
          <w:sz w:val="40"/>
          <w:szCs w:val="40"/>
        </w:rPr>
        <w:t>6</w:t>
      </w:r>
      <w:r w:rsidR="009E7568">
        <w:rPr>
          <w:sz w:val="40"/>
          <w:szCs w:val="40"/>
        </w:rPr>
        <w:t xml:space="preserve"> </w:t>
      </w:r>
      <w:r w:rsidR="00BE014C">
        <w:rPr>
          <w:sz w:val="40"/>
          <w:szCs w:val="40"/>
        </w:rPr>
        <w:t>Minutes</w:t>
      </w:r>
    </w:p>
    <w:p w14:paraId="3F9639FF" w14:textId="77777777" w:rsidR="003A2D65" w:rsidRPr="00014D42" w:rsidRDefault="003A2D65" w:rsidP="00117B3D">
      <w:pPr>
        <w:pStyle w:val="Maintitle"/>
        <w:spacing w:after="40"/>
        <w:rPr>
          <w:sz w:val="28"/>
          <w:szCs w:val="28"/>
        </w:rPr>
      </w:pPr>
    </w:p>
    <w:p w14:paraId="013BB0CD" w14:textId="77777777" w:rsidR="003A2D65" w:rsidRPr="003A2D65" w:rsidRDefault="003A2D65" w:rsidP="003A2D65">
      <w:pPr>
        <w:pStyle w:val="MainTitle0"/>
        <w:spacing w:after="0"/>
        <w:jc w:val="right"/>
        <w:rPr>
          <w:rFonts w:ascii="Arial" w:hAnsi="Arial" w:cs="Arial"/>
          <w:sz w:val="24"/>
          <w:szCs w:val="24"/>
        </w:rPr>
      </w:pPr>
      <w:r w:rsidRPr="00D76DC7">
        <w:rPr>
          <w:rFonts w:ascii="Arial" w:hAnsi="Arial" w:cs="Arial"/>
          <w:sz w:val="24"/>
          <w:szCs w:val="24"/>
        </w:rPr>
        <w:t>S</w:t>
      </w:r>
      <w:r w:rsidR="00371F96">
        <w:rPr>
          <w:rFonts w:ascii="Arial" w:hAnsi="Arial" w:cs="Arial"/>
          <w:sz w:val="24"/>
          <w:szCs w:val="24"/>
        </w:rPr>
        <w:t>ites Reservoir Project</w:t>
      </w:r>
    </w:p>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0"/>
        <w:gridCol w:w="3330"/>
        <w:gridCol w:w="1350"/>
        <w:gridCol w:w="5490"/>
      </w:tblGrid>
      <w:tr w:rsidR="00152E74" w:rsidRPr="008F613A" w14:paraId="7378860A" w14:textId="77777777" w:rsidTr="00B721AF">
        <w:trPr>
          <w:trHeight w:val="361"/>
        </w:trPr>
        <w:tc>
          <w:tcPr>
            <w:tcW w:w="810" w:type="dxa"/>
            <w:shd w:val="clear" w:color="auto" w:fill="FFFFFF" w:themeFill="background1"/>
            <w:vAlign w:val="center"/>
          </w:tcPr>
          <w:p w14:paraId="69FA4EAF" w14:textId="77777777" w:rsidR="00152E74" w:rsidRPr="005F4009" w:rsidRDefault="00152E74" w:rsidP="00D65B01">
            <w:pPr>
              <w:pStyle w:val="Titlefields"/>
              <w:spacing w:before="60" w:after="60"/>
              <w:rPr>
                <w:b/>
                <w:szCs w:val="22"/>
              </w:rPr>
            </w:pPr>
            <w:r w:rsidRPr="005F4009">
              <w:rPr>
                <w:b/>
                <w:szCs w:val="22"/>
              </w:rPr>
              <w:t>Date:</w:t>
            </w:r>
          </w:p>
        </w:tc>
        <w:tc>
          <w:tcPr>
            <w:tcW w:w="3330" w:type="dxa"/>
            <w:shd w:val="clear" w:color="auto" w:fill="auto"/>
            <w:vAlign w:val="center"/>
          </w:tcPr>
          <w:p w14:paraId="42A981D7" w14:textId="77777777" w:rsidR="00152E74" w:rsidRPr="00B87E16" w:rsidRDefault="000452EC" w:rsidP="00983560">
            <w:pPr>
              <w:spacing w:before="60" w:after="60"/>
              <w:rPr>
                <w:i/>
                <w:szCs w:val="22"/>
              </w:rPr>
            </w:pPr>
            <w:r>
              <w:rPr>
                <w:i/>
                <w:szCs w:val="22"/>
              </w:rPr>
              <w:t>August 6</w:t>
            </w:r>
            <w:r w:rsidR="0063349B">
              <w:rPr>
                <w:i/>
                <w:szCs w:val="22"/>
              </w:rPr>
              <w:t>, 2019</w:t>
            </w:r>
          </w:p>
        </w:tc>
        <w:tc>
          <w:tcPr>
            <w:tcW w:w="1350" w:type="dxa"/>
            <w:shd w:val="clear" w:color="auto" w:fill="auto"/>
            <w:vAlign w:val="center"/>
          </w:tcPr>
          <w:p w14:paraId="7BE6FA7B" w14:textId="77777777" w:rsidR="00152E74" w:rsidRPr="005F4009" w:rsidRDefault="00152E74" w:rsidP="00D65B01">
            <w:pPr>
              <w:pStyle w:val="Titlefields"/>
              <w:spacing w:before="60" w:after="60"/>
              <w:rPr>
                <w:b/>
                <w:szCs w:val="22"/>
              </w:rPr>
            </w:pPr>
            <w:r w:rsidRPr="005F4009">
              <w:rPr>
                <w:b/>
                <w:szCs w:val="22"/>
              </w:rPr>
              <w:t>Location:</w:t>
            </w:r>
          </w:p>
        </w:tc>
        <w:tc>
          <w:tcPr>
            <w:tcW w:w="5490" w:type="dxa"/>
            <w:shd w:val="clear" w:color="auto" w:fill="auto"/>
            <w:vAlign w:val="center"/>
          </w:tcPr>
          <w:p w14:paraId="672437AB" w14:textId="77777777" w:rsidR="00152E74" w:rsidRPr="008545F6" w:rsidRDefault="007B7FE6" w:rsidP="00D92B61">
            <w:pPr>
              <w:pStyle w:val="mainbodytext"/>
              <w:spacing w:before="60" w:after="60"/>
              <w:rPr>
                <w:i/>
                <w:szCs w:val="22"/>
              </w:rPr>
            </w:pPr>
            <w:r w:rsidRPr="0044518D">
              <w:rPr>
                <w:i/>
                <w:szCs w:val="22"/>
              </w:rPr>
              <w:t xml:space="preserve">HDR Office: 2379 Gateway Oaks Drive, Suite 200 </w:t>
            </w:r>
            <w:r w:rsidR="000452EC">
              <w:rPr>
                <w:i/>
                <w:szCs w:val="22"/>
              </w:rPr>
              <w:t>Raleigh</w:t>
            </w:r>
            <w:r w:rsidRPr="0044518D">
              <w:rPr>
                <w:i/>
                <w:szCs w:val="22"/>
              </w:rPr>
              <w:t xml:space="preserve"> Conference Room</w:t>
            </w:r>
            <w:r>
              <w:rPr>
                <w:i/>
                <w:szCs w:val="22"/>
              </w:rPr>
              <w:t xml:space="preserve">. </w:t>
            </w:r>
            <w:r w:rsidR="00FD5BD3">
              <w:rPr>
                <w:i/>
                <w:szCs w:val="22"/>
              </w:rPr>
              <w:t>Or Skype</w:t>
            </w:r>
            <w:r w:rsidR="00D92B61">
              <w:rPr>
                <w:i/>
                <w:szCs w:val="22"/>
              </w:rPr>
              <w:t xml:space="preserve"> with </w:t>
            </w:r>
            <w:r>
              <w:rPr>
                <w:i/>
                <w:szCs w:val="22"/>
              </w:rPr>
              <w:t>Call in</w:t>
            </w:r>
            <w:r>
              <w:t xml:space="preserve">: </w:t>
            </w:r>
            <w:r w:rsidRPr="007B7FE6">
              <w:rPr>
                <w:i/>
                <w:szCs w:val="22"/>
              </w:rPr>
              <w:t>866-583-7984,</w:t>
            </w:r>
            <w:r w:rsidR="000452EC">
              <w:rPr>
                <w:i/>
                <w:szCs w:val="22"/>
              </w:rPr>
              <w:t>1502541</w:t>
            </w:r>
          </w:p>
        </w:tc>
      </w:tr>
      <w:tr w:rsidR="002F1F2C" w:rsidRPr="008F613A" w14:paraId="11A6E274" w14:textId="77777777" w:rsidTr="00B721AF">
        <w:trPr>
          <w:trHeight w:val="361"/>
        </w:trPr>
        <w:tc>
          <w:tcPr>
            <w:tcW w:w="810" w:type="dxa"/>
            <w:shd w:val="clear" w:color="auto" w:fill="FFFFFF" w:themeFill="background1"/>
            <w:vAlign w:val="center"/>
          </w:tcPr>
          <w:p w14:paraId="71BB358D" w14:textId="77777777" w:rsidR="002F1F2C" w:rsidRPr="005F4009" w:rsidRDefault="002F1F2C" w:rsidP="00D65B01">
            <w:pPr>
              <w:pStyle w:val="Titlefields"/>
              <w:spacing w:before="60" w:after="60"/>
              <w:rPr>
                <w:b/>
                <w:szCs w:val="22"/>
              </w:rPr>
            </w:pPr>
            <w:r w:rsidRPr="005F4009">
              <w:rPr>
                <w:b/>
                <w:szCs w:val="22"/>
              </w:rPr>
              <w:t>Time:</w:t>
            </w:r>
          </w:p>
        </w:tc>
        <w:tc>
          <w:tcPr>
            <w:tcW w:w="10170" w:type="dxa"/>
            <w:gridSpan w:val="3"/>
            <w:shd w:val="clear" w:color="auto" w:fill="auto"/>
            <w:vAlign w:val="center"/>
          </w:tcPr>
          <w:p w14:paraId="36024F3F" w14:textId="77777777" w:rsidR="002F1F2C" w:rsidRPr="008F613A" w:rsidRDefault="00983560" w:rsidP="00983560">
            <w:pPr>
              <w:pStyle w:val="mainbodytext"/>
              <w:spacing w:before="60" w:after="60"/>
              <w:rPr>
                <w:szCs w:val="22"/>
              </w:rPr>
            </w:pPr>
            <w:r>
              <w:rPr>
                <w:szCs w:val="22"/>
              </w:rPr>
              <w:t>9:00 a</w:t>
            </w:r>
            <w:r w:rsidR="005876BA">
              <w:rPr>
                <w:szCs w:val="22"/>
              </w:rPr>
              <w:t xml:space="preserve">m </w:t>
            </w:r>
            <w:r w:rsidR="0075592F">
              <w:rPr>
                <w:szCs w:val="22"/>
              </w:rPr>
              <w:t>–</w:t>
            </w:r>
            <w:r w:rsidR="005876BA">
              <w:rPr>
                <w:szCs w:val="22"/>
              </w:rPr>
              <w:t xml:space="preserve"> </w:t>
            </w:r>
            <w:r w:rsidR="0075592F">
              <w:rPr>
                <w:szCs w:val="22"/>
              </w:rPr>
              <w:t>1</w:t>
            </w:r>
            <w:r w:rsidR="000452EC">
              <w:rPr>
                <w:szCs w:val="22"/>
              </w:rPr>
              <w:t>1</w:t>
            </w:r>
            <w:r w:rsidR="0075592F">
              <w:rPr>
                <w:szCs w:val="22"/>
              </w:rPr>
              <w:t>:</w:t>
            </w:r>
            <w:r w:rsidR="000452EC">
              <w:rPr>
                <w:szCs w:val="22"/>
              </w:rPr>
              <w:t>0</w:t>
            </w:r>
            <w:r w:rsidR="0075592F">
              <w:rPr>
                <w:szCs w:val="22"/>
              </w:rPr>
              <w:t xml:space="preserve">0 </w:t>
            </w:r>
            <w:r>
              <w:rPr>
                <w:szCs w:val="22"/>
              </w:rPr>
              <w:t>a</w:t>
            </w:r>
            <w:r w:rsidR="0075592F">
              <w:rPr>
                <w:szCs w:val="22"/>
              </w:rPr>
              <w:t>m</w:t>
            </w:r>
            <w:r w:rsidR="0063349B">
              <w:rPr>
                <w:szCs w:val="22"/>
              </w:rPr>
              <w:t xml:space="preserve"> </w:t>
            </w:r>
          </w:p>
        </w:tc>
      </w:tr>
    </w:tbl>
    <w:p w14:paraId="4A4A4951" w14:textId="77777777" w:rsidR="00152E74" w:rsidRPr="00B87E16" w:rsidRDefault="00152E74" w:rsidP="00152E74">
      <w:pPr>
        <w:rPr>
          <w:rFonts w:cs="Arial"/>
          <w:sz w:val="16"/>
          <w:szCs w:val="16"/>
        </w:rPr>
      </w:pPr>
    </w:p>
    <w:tbl>
      <w:tblPr>
        <w:tblStyle w:val="TableGrid"/>
        <w:tblW w:w="10235" w:type="dxa"/>
        <w:tblInd w:w="115" w:type="dxa"/>
        <w:tblLayout w:type="fixed"/>
        <w:tblCellMar>
          <w:top w:w="43" w:type="dxa"/>
          <w:left w:w="115" w:type="dxa"/>
          <w:right w:w="115" w:type="dxa"/>
        </w:tblCellMar>
        <w:tblLook w:val="04A0" w:firstRow="1" w:lastRow="0" w:firstColumn="1" w:lastColumn="0" w:noHBand="0" w:noVBand="1"/>
      </w:tblPr>
      <w:tblGrid>
        <w:gridCol w:w="3845"/>
        <w:gridCol w:w="3150"/>
        <w:gridCol w:w="3240"/>
      </w:tblGrid>
      <w:tr w:rsidR="00152E74" w:rsidRPr="008F613A" w14:paraId="4C75766D" w14:textId="77777777" w:rsidTr="007A39C8">
        <w:trPr>
          <w:trHeight w:val="122"/>
        </w:trPr>
        <w:tc>
          <w:tcPr>
            <w:tcW w:w="10235" w:type="dxa"/>
            <w:gridSpan w:val="3"/>
            <w:tcBorders>
              <w:left w:val="nil"/>
              <w:bottom w:val="single" w:sz="4" w:space="0" w:color="auto"/>
              <w:right w:val="nil"/>
            </w:tcBorders>
            <w:shd w:val="clear" w:color="auto" w:fill="FFFFFF" w:themeFill="background1"/>
            <w:vAlign w:val="center"/>
          </w:tcPr>
          <w:p w14:paraId="1EEB85B7" w14:textId="77777777" w:rsidR="00173468" w:rsidRPr="008F613A" w:rsidRDefault="00780B75" w:rsidP="005C4781">
            <w:pPr>
              <w:pStyle w:val="mainbodytext"/>
              <w:spacing w:before="60" w:after="60"/>
              <w:rPr>
                <w:szCs w:val="22"/>
              </w:rPr>
            </w:pPr>
            <w:r w:rsidRPr="008F613A">
              <w:rPr>
                <w:b/>
                <w:szCs w:val="22"/>
              </w:rPr>
              <w:t>Purpose:</w:t>
            </w:r>
            <w:r w:rsidR="00092F84" w:rsidRPr="008F613A">
              <w:rPr>
                <w:szCs w:val="22"/>
              </w:rPr>
              <w:t xml:space="preserve"> </w:t>
            </w:r>
            <w:r w:rsidR="005C4781">
              <w:rPr>
                <w:szCs w:val="22"/>
              </w:rPr>
              <w:t>Continue terrestrial</w:t>
            </w:r>
            <w:r w:rsidR="00161B3C">
              <w:rPr>
                <w:szCs w:val="22"/>
              </w:rPr>
              <w:t xml:space="preserve"> 60-day </w:t>
            </w:r>
            <w:r w:rsidR="008F3D8F">
              <w:rPr>
                <w:szCs w:val="22"/>
              </w:rPr>
              <w:t>e</w:t>
            </w:r>
            <w:r w:rsidR="00161B3C">
              <w:rPr>
                <w:szCs w:val="22"/>
              </w:rPr>
              <w:t>valuation process</w:t>
            </w:r>
            <w:r w:rsidR="008F3D8F">
              <w:rPr>
                <w:szCs w:val="22"/>
              </w:rPr>
              <w:t xml:space="preserve">. </w:t>
            </w:r>
          </w:p>
        </w:tc>
      </w:tr>
      <w:tr w:rsidR="00152E74" w:rsidRPr="005F4009" w14:paraId="144E5042" w14:textId="77777777" w:rsidTr="007A39C8">
        <w:trPr>
          <w:trHeight w:val="179"/>
        </w:trPr>
        <w:tc>
          <w:tcPr>
            <w:tcW w:w="10235" w:type="dxa"/>
            <w:gridSpan w:val="3"/>
            <w:tcBorders>
              <w:left w:val="nil"/>
              <w:bottom w:val="single" w:sz="4" w:space="0" w:color="auto"/>
              <w:right w:val="nil"/>
            </w:tcBorders>
            <w:shd w:val="clear" w:color="auto" w:fill="D9D9D9" w:themeFill="background1" w:themeFillShade="D9"/>
            <w:vAlign w:val="center"/>
          </w:tcPr>
          <w:p w14:paraId="514D0F3C" w14:textId="77777777" w:rsidR="00152E74" w:rsidRPr="005F4009" w:rsidRDefault="00917327" w:rsidP="002154FE">
            <w:pPr>
              <w:pStyle w:val="Titlefields"/>
              <w:spacing w:before="60" w:after="60"/>
              <w:rPr>
                <w:b/>
                <w:szCs w:val="22"/>
              </w:rPr>
            </w:pPr>
            <w:r>
              <w:rPr>
                <w:b/>
                <w:szCs w:val="22"/>
              </w:rPr>
              <w:t>A</w:t>
            </w:r>
            <w:r w:rsidR="00BE014C">
              <w:rPr>
                <w:b/>
                <w:szCs w:val="22"/>
              </w:rPr>
              <w:t>ttendees</w:t>
            </w:r>
          </w:p>
        </w:tc>
      </w:tr>
      <w:tr w:rsidR="004B671B" w:rsidRPr="00D7791C" w14:paraId="177C4303" w14:textId="77777777" w:rsidTr="007375C0">
        <w:trPr>
          <w:trHeight w:val="1106"/>
        </w:trPr>
        <w:tc>
          <w:tcPr>
            <w:tcW w:w="3845" w:type="dxa"/>
            <w:tcBorders>
              <w:left w:val="nil"/>
              <w:right w:val="nil"/>
            </w:tcBorders>
            <w:shd w:val="clear" w:color="auto" w:fill="auto"/>
          </w:tcPr>
          <w:p w14:paraId="1B69B731" w14:textId="77777777" w:rsidR="00471732" w:rsidRPr="00D7791C" w:rsidRDefault="00471732" w:rsidP="00471732">
            <w:pPr>
              <w:spacing w:before="60" w:after="60"/>
            </w:pPr>
            <w:r w:rsidRPr="00D7791C">
              <w:rPr>
                <w:rStyle w:val="Style2"/>
                <w:sz w:val="20"/>
              </w:rPr>
              <w:t>Ali Forsythe, Sites Authority</w:t>
            </w:r>
          </w:p>
          <w:p w14:paraId="41A583A7" w14:textId="77777777" w:rsidR="008F3D8F" w:rsidRPr="00D7791C" w:rsidRDefault="007B7FE6" w:rsidP="00471732">
            <w:pPr>
              <w:spacing w:before="60" w:after="60"/>
            </w:pPr>
            <w:r w:rsidRPr="00D7791C">
              <w:t>Ian Boyd, CDFW</w:t>
            </w:r>
          </w:p>
        </w:tc>
        <w:tc>
          <w:tcPr>
            <w:tcW w:w="3150" w:type="dxa"/>
            <w:tcBorders>
              <w:left w:val="nil"/>
              <w:right w:val="nil"/>
            </w:tcBorders>
            <w:shd w:val="clear" w:color="auto" w:fill="auto"/>
          </w:tcPr>
          <w:p w14:paraId="05B887FF" w14:textId="77777777" w:rsidR="007B7FE6" w:rsidRPr="001E234E" w:rsidRDefault="007B7FE6" w:rsidP="007B7FE6">
            <w:pPr>
              <w:pStyle w:val="mainbodytext"/>
              <w:spacing w:before="60" w:after="60"/>
              <w:rPr>
                <w:rStyle w:val="Style2"/>
                <w:sz w:val="20"/>
              </w:rPr>
            </w:pPr>
            <w:r w:rsidRPr="001E234E">
              <w:rPr>
                <w:rStyle w:val="Style2"/>
                <w:sz w:val="20"/>
              </w:rPr>
              <w:t>Monique Briard, ICF</w:t>
            </w:r>
          </w:p>
          <w:p w14:paraId="1345EB73" w14:textId="77777777" w:rsidR="001E234E" w:rsidRPr="001E234E" w:rsidRDefault="001E234E" w:rsidP="009A74A0">
            <w:pPr>
              <w:pStyle w:val="mainbodytext"/>
              <w:spacing w:before="60" w:after="60"/>
            </w:pPr>
            <w:r w:rsidRPr="001E234E">
              <w:rPr>
                <w:rStyle w:val="Style2"/>
                <w:sz w:val="20"/>
              </w:rPr>
              <w:t>John Howe, ICF</w:t>
            </w:r>
          </w:p>
        </w:tc>
        <w:tc>
          <w:tcPr>
            <w:tcW w:w="3240" w:type="dxa"/>
            <w:tcBorders>
              <w:left w:val="nil"/>
              <w:right w:val="nil"/>
            </w:tcBorders>
            <w:shd w:val="clear" w:color="auto" w:fill="auto"/>
          </w:tcPr>
          <w:p w14:paraId="7C665BE3" w14:textId="77777777" w:rsidR="007B7FE6" w:rsidRPr="00D7791C" w:rsidRDefault="007B7FE6" w:rsidP="00014D42">
            <w:pPr>
              <w:spacing w:before="60" w:after="60"/>
              <w:rPr>
                <w:color w:val="000000" w:themeColor="text1"/>
              </w:rPr>
            </w:pPr>
            <w:r w:rsidRPr="00D7791C">
              <w:rPr>
                <w:color w:val="000000" w:themeColor="text1"/>
              </w:rPr>
              <w:t xml:space="preserve">Jelica Arsenijevic, HDR </w:t>
            </w:r>
          </w:p>
          <w:p w14:paraId="7DE00DBF" w14:textId="77777777" w:rsidR="00C8642A" w:rsidRPr="00D7791C" w:rsidRDefault="00014D42" w:rsidP="009A74A0">
            <w:pPr>
              <w:spacing w:before="60" w:after="60"/>
            </w:pPr>
            <w:r w:rsidRPr="00D7791C">
              <w:rPr>
                <w:color w:val="000000" w:themeColor="text1"/>
              </w:rPr>
              <w:t>John Spranza, HDR</w:t>
            </w:r>
          </w:p>
        </w:tc>
      </w:tr>
      <w:tr w:rsidR="00EB4DC4" w:rsidRPr="008F613A" w14:paraId="47BF7CF9" w14:textId="77777777" w:rsidTr="000452EC">
        <w:trPr>
          <w:trHeight w:val="8234"/>
        </w:trPr>
        <w:tc>
          <w:tcPr>
            <w:tcW w:w="10235" w:type="dxa"/>
            <w:gridSpan w:val="3"/>
            <w:tcBorders>
              <w:left w:val="nil"/>
            </w:tcBorders>
            <w:shd w:val="clear" w:color="auto" w:fill="auto"/>
          </w:tcPr>
          <w:tbl>
            <w:tblPr>
              <w:tblStyle w:val="TableGrid"/>
              <w:tblpPr w:leftFromText="180" w:rightFromText="180" w:vertAnchor="text" w:horzAnchor="margin" w:tblpY="148"/>
              <w:tblW w:w="9895" w:type="dxa"/>
              <w:tblLayout w:type="fixed"/>
              <w:tblLook w:val="04A0" w:firstRow="1" w:lastRow="0" w:firstColumn="1" w:lastColumn="0" w:noHBand="0" w:noVBand="1"/>
            </w:tblPr>
            <w:tblGrid>
              <w:gridCol w:w="582"/>
              <w:gridCol w:w="3317"/>
              <w:gridCol w:w="1714"/>
              <w:gridCol w:w="1862"/>
              <w:gridCol w:w="2420"/>
            </w:tblGrid>
            <w:tr w:rsidR="00EB4DC4" w:rsidRPr="00843931" w14:paraId="0DC06F1D" w14:textId="77777777" w:rsidTr="00D92B61">
              <w:trPr>
                <w:tblHeader/>
              </w:trPr>
              <w:tc>
                <w:tcPr>
                  <w:tcW w:w="1970" w:type="pct"/>
                  <w:gridSpan w:val="2"/>
                  <w:shd w:val="clear" w:color="auto" w:fill="D9D9D9" w:themeFill="background1" w:themeFillShade="D9"/>
                </w:tcPr>
                <w:p w14:paraId="15238FDA" w14:textId="77777777" w:rsidR="00EB4DC4" w:rsidRPr="00365E95" w:rsidRDefault="00EB4DC4" w:rsidP="00EB4DC4">
                  <w:pPr>
                    <w:pStyle w:val="namerole"/>
                    <w:rPr>
                      <w:b/>
                    </w:rPr>
                  </w:pPr>
                  <w:r w:rsidRPr="00365E95">
                    <w:rPr>
                      <w:b/>
                    </w:rPr>
                    <w:t>Action Item</w:t>
                  </w:r>
                </w:p>
              </w:tc>
              <w:tc>
                <w:tcPr>
                  <w:tcW w:w="866" w:type="pct"/>
                  <w:shd w:val="clear" w:color="auto" w:fill="D9D9D9" w:themeFill="background1" w:themeFillShade="D9"/>
                </w:tcPr>
                <w:p w14:paraId="105255CC" w14:textId="77777777" w:rsidR="00EB4DC4" w:rsidRPr="00365E95" w:rsidRDefault="00EB4DC4" w:rsidP="00EB4DC4">
                  <w:pPr>
                    <w:pStyle w:val="namerole"/>
                    <w:rPr>
                      <w:b/>
                    </w:rPr>
                  </w:pPr>
                  <w:r w:rsidRPr="00365E95">
                    <w:rPr>
                      <w:b/>
                    </w:rPr>
                    <w:t>Owner</w:t>
                  </w:r>
                </w:p>
              </w:tc>
              <w:tc>
                <w:tcPr>
                  <w:tcW w:w="941" w:type="pct"/>
                  <w:shd w:val="clear" w:color="auto" w:fill="D9D9D9" w:themeFill="background1" w:themeFillShade="D9"/>
                </w:tcPr>
                <w:p w14:paraId="41B21E0B" w14:textId="77777777" w:rsidR="00EB4DC4" w:rsidRPr="00365E95" w:rsidRDefault="00EB4DC4" w:rsidP="00EB4DC4">
                  <w:pPr>
                    <w:pStyle w:val="namerole"/>
                    <w:rPr>
                      <w:b/>
                    </w:rPr>
                  </w:pPr>
                  <w:r w:rsidRPr="00365E95">
                    <w:rPr>
                      <w:b/>
                    </w:rPr>
                    <w:t>Deadline</w:t>
                  </w:r>
                </w:p>
              </w:tc>
              <w:tc>
                <w:tcPr>
                  <w:tcW w:w="1223" w:type="pct"/>
                  <w:shd w:val="clear" w:color="auto" w:fill="D9D9D9" w:themeFill="background1" w:themeFillShade="D9"/>
                </w:tcPr>
                <w:p w14:paraId="693768E8" w14:textId="77777777" w:rsidR="00EB4DC4" w:rsidRPr="00365E95" w:rsidRDefault="00EB4DC4" w:rsidP="00EB4DC4">
                  <w:pPr>
                    <w:pStyle w:val="namerole"/>
                    <w:rPr>
                      <w:b/>
                    </w:rPr>
                  </w:pPr>
                  <w:r w:rsidRPr="00365E95">
                    <w:rPr>
                      <w:b/>
                    </w:rPr>
                    <w:t>Notes</w:t>
                  </w:r>
                </w:p>
              </w:tc>
            </w:tr>
            <w:tr w:rsidR="0069765D" w:rsidRPr="00673A6D" w14:paraId="4A6B43CF" w14:textId="77777777" w:rsidTr="00D92B61">
              <w:tc>
                <w:tcPr>
                  <w:tcW w:w="294" w:type="pct"/>
                </w:tcPr>
                <w:p w14:paraId="2A73756B" w14:textId="77777777" w:rsidR="0069765D" w:rsidRDefault="00BE014C" w:rsidP="0069765D">
                  <w:pPr>
                    <w:pStyle w:val="namerole"/>
                  </w:pPr>
                  <w:r>
                    <w:t>1</w:t>
                  </w:r>
                </w:p>
              </w:tc>
              <w:tc>
                <w:tcPr>
                  <w:tcW w:w="1676" w:type="pct"/>
                  <w:vAlign w:val="center"/>
                </w:tcPr>
                <w:p w14:paraId="2A6C4118" w14:textId="77777777" w:rsidR="0069765D" w:rsidRPr="00E12F2A" w:rsidRDefault="0069765D" w:rsidP="0069765D">
                  <w:pPr>
                    <w:ind w:left="26"/>
                  </w:pPr>
                  <w:r>
                    <w:t>E</w:t>
                  </w:r>
                  <w:r w:rsidRPr="00E12F2A">
                    <w:t xml:space="preserve">xtended write up for the model layers and land cover types. </w:t>
                  </w:r>
                </w:p>
              </w:tc>
              <w:tc>
                <w:tcPr>
                  <w:tcW w:w="866" w:type="pct"/>
                  <w:vAlign w:val="center"/>
                </w:tcPr>
                <w:p w14:paraId="160A0A8A" w14:textId="77777777" w:rsidR="0069765D" w:rsidRPr="008D3767" w:rsidRDefault="0069765D" w:rsidP="0069765D">
                  <w:pPr>
                    <w:pStyle w:val="namerole"/>
                    <w:tabs>
                      <w:tab w:val="left" w:pos="855"/>
                    </w:tabs>
                  </w:pPr>
                  <w:r>
                    <w:t>Ellen B/John H.</w:t>
                  </w:r>
                </w:p>
              </w:tc>
              <w:tc>
                <w:tcPr>
                  <w:tcW w:w="941" w:type="pct"/>
                  <w:vAlign w:val="center"/>
                </w:tcPr>
                <w:p w14:paraId="1A431B4A" w14:textId="77777777" w:rsidR="0069765D" w:rsidRPr="008D3767" w:rsidRDefault="001310A4" w:rsidP="00616DC4">
                  <w:pPr>
                    <w:pStyle w:val="namerole"/>
                  </w:pPr>
                  <w:r>
                    <w:t>8/13/2019</w:t>
                  </w:r>
                </w:p>
              </w:tc>
              <w:tc>
                <w:tcPr>
                  <w:tcW w:w="1223" w:type="pct"/>
                </w:tcPr>
                <w:p w14:paraId="1B7AA07B" w14:textId="77777777" w:rsidR="001310A4" w:rsidRPr="00BE014C" w:rsidRDefault="00BE014C" w:rsidP="00BE014C">
                  <w:pPr>
                    <w:pStyle w:val="namerole"/>
                  </w:pPr>
                  <w:r w:rsidRPr="00BE014C">
                    <w:t xml:space="preserve">Complete – GGS template sent to Ian on 8/6/2019 after meeting </w:t>
                  </w:r>
                  <w:r w:rsidR="001310A4" w:rsidRPr="00BE014C">
                    <w:t>9</w:t>
                  </w:r>
                </w:p>
              </w:tc>
            </w:tr>
            <w:tr w:rsidR="0069765D" w:rsidRPr="00673A6D" w14:paraId="352351A6" w14:textId="77777777" w:rsidTr="00D92B61">
              <w:tc>
                <w:tcPr>
                  <w:tcW w:w="294" w:type="pct"/>
                </w:tcPr>
                <w:p w14:paraId="10152DB9" w14:textId="77777777" w:rsidR="0069765D" w:rsidRDefault="00BE014C" w:rsidP="0069765D">
                  <w:pPr>
                    <w:pStyle w:val="namerole"/>
                  </w:pPr>
                  <w:r>
                    <w:t>2</w:t>
                  </w:r>
                </w:p>
              </w:tc>
              <w:tc>
                <w:tcPr>
                  <w:tcW w:w="1676" w:type="pct"/>
                  <w:vAlign w:val="center"/>
                </w:tcPr>
                <w:p w14:paraId="1787DDAA" w14:textId="77777777" w:rsidR="0069765D" w:rsidRPr="00E12F2A" w:rsidRDefault="0069765D" w:rsidP="0069765D">
                  <w:pPr>
                    <w:ind w:left="26"/>
                  </w:pPr>
                  <w:r w:rsidRPr="006417CF">
                    <w:t>Determine if Construction and Ops separate ITP or combine: Talk with Jeff RE: the st</w:t>
                  </w:r>
                  <w:r>
                    <w:t xml:space="preserve">ructure prior to next steps. </w:t>
                  </w:r>
                </w:p>
              </w:tc>
              <w:tc>
                <w:tcPr>
                  <w:tcW w:w="866" w:type="pct"/>
                  <w:vAlign w:val="center"/>
                </w:tcPr>
                <w:p w14:paraId="524F72DC" w14:textId="77777777" w:rsidR="0069765D" w:rsidRDefault="0069765D" w:rsidP="0069765D">
                  <w:pPr>
                    <w:pStyle w:val="namerole"/>
                    <w:tabs>
                      <w:tab w:val="left" w:pos="855"/>
                    </w:tabs>
                  </w:pPr>
                  <w:r>
                    <w:t>CDFW</w:t>
                  </w:r>
                </w:p>
              </w:tc>
              <w:tc>
                <w:tcPr>
                  <w:tcW w:w="941" w:type="pct"/>
                  <w:vAlign w:val="center"/>
                </w:tcPr>
                <w:p w14:paraId="4CF6534A" w14:textId="77777777" w:rsidR="0069765D" w:rsidRDefault="00BE014C" w:rsidP="00D92B61">
                  <w:pPr>
                    <w:pStyle w:val="namerole"/>
                  </w:pPr>
                  <w:r>
                    <w:t>Ongoing</w:t>
                  </w:r>
                </w:p>
              </w:tc>
              <w:tc>
                <w:tcPr>
                  <w:tcW w:w="1223" w:type="pct"/>
                </w:tcPr>
                <w:p w14:paraId="20E610E8" w14:textId="77777777" w:rsidR="0069765D" w:rsidRPr="006C4968" w:rsidRDefault="000452EC" w:rsidP="0069765D">
                  <w:pPr>
                    <w:pStyle w:val="namerole"/>
                  </w:pPr>
                  <w:r>
                    <w:t>Separate, but continue discussions</w:t>
                  </w:r>
                </w:p>
              </w:tc>
            </w:tr>
            <w:tr w:rsidR="009E7568" w:rsidRPr="00673A6D" w14:paraId="5D0FBE94" w14:textId="77777777" w:rsidTr="00D92B61">
              <w:tc>
                <w:tcPr>
                  <w:tcW w:w="294" w:type="pct"/>
                </w:tcPr>
                <w:p w14:paraId="27001E14" w14:textId="77777777" w:rsidR="009E7568" w:rsidRDefault="00BE014C" w:rsidP="009E7568">
                  <w:pPr>
                    <w:pStyle w:val="namerole"/>
                  </w:pPr>
                  <w:r>
                    <w:t>3</w:t>
                  </w:r>
                </w:p>
              </w:tc>
              <w:tc>
                <w:tcPr>
                  <w:tcW w:w="1676" w:type="pct"/>
                </w:tcPr>
                <w:p w14:paraId="4A8EB7C3" w14:textId="77777777" w:rsidR="009E7568" w:rsidRDefault="00616DC4" w:rsidP="00616DC4">
                  <w:pPr>
                    <w:pStyle w:val="namerole"/>
                  </w:pPr>
                  <w:r>
                    <w:t>LSA</w:t>
                  </w:r>
                  <w:r w:rsidR="000452EC">
                    <w:t>A</w:t>
                  </w:r>
                </w:p>
              </w:tc>
              <w:tc>
                <w:tcPr>
                  <w:tcW w:w="866" w:type="pct"/>
                </w:tcPr>
                <w:p w14:paraId="602C8D27" w14:textId="77777777" w:rsidR="009E7568" w:rsidRDefault="00D92B61" w:rsidP="009E7568">
                  <w:pPr>
                    <w:pStyle w:val="namerole"/>
                    <w:tabs>
                      <w:tab w:val="left" w:pos="855"/>
                    </w:tabs>
                  </w:pPr>
                  <w:r>
                    <w:t>CDFW</w:t>
                  </w:r>
                </w:p>
              </w:tc>
              <w:tc>
                <w:tcPr>
                  <w:tcW w:w="941" w:type="pct"/>
                </w:tcPr>
                <w:p w14:paraId="282FFECA" w14:textId="77777777" w:rsidR="009E7568" w:rsidRDefault="00D92B61" w:rsidP="009E7568">
                  <w:pPr>
                    <w:pStyle w:val="namerole"/>
                  </w:pPr>
                  <w:r>
                    <w:t>Ongoing</w:t>
                  </w:r>
                </w:p>
              </w:tc>
              <w:tc>
                <w:tcPr>
                  <w:tcW w:w="1223" w:type="pct"/>
                </w:tcPr>
                <w:p w14:paraId="544E5B41" w14:textId="77777777" w:rsidR="00616DC4" w:rsidRPr="006C4968" w:rsidRDefault="000452EC" w:rsidP="009E7568">
                  <w:pPr>
                    <w:pStyle w:val="namerole"/>
                  </w:pPr>
                  <w:r>
                    <w:t>All separate , but continue discussions</w:t>
                  </w:r>
                </w:p>
              </w:tc>
            </w:tr>
            <w:tr w:rsidR="000452EC" w:rsidRPr="00673A6D" w14:paraId="33F63B4F" w14:textId="77777777" w:rsidTr="00D92B61">
              <w:tc>
                <w:tcPr>
                  <w:tcW w:w="294" w:type="pct"/>
                </w:tcPr>
                <w:p w14:paraId="400F182B" w14:textId="77777777" w:rsidR="000452EC" w:rsidRDefault="00BE014C" w:rsidP="009E7568">
                  <w:pPr>
                    <w:pStyle w:val="namerole"/>
                  </w:pPr>
                  <w:r>
                    <w:t>4</w:t>
                  </w:r>
                </w:p>
              </w:tc>
              <w:tc>
                <w:tcPr>
                  <w:tcW w:w="1676" w:type="pct"/>
                </w:tcPr>
                <w:p w14:paraId="1E1F12BF" w14:textId="77777777" w:rsidR="000452EC" w:rsidRDefault="000452EC" w:rsidP="00616DC4">
                  <w:pPr>
                    <w:pStyle w:val="namerole"/>
                  </w:pPr>
                  <w:r w:rsidRPr="000452EC">
                    <w:t>Meet with CDFW regional contacts provided by Ian</w:t>
                  </w:r>
                  <w:r w:rsidRPr="000452EC">
                    <w:tab/>
                  </w:r>
                  <w:r w:rsidRPr="000452EC">
                    <w:tab/>
                  </w:r>
                  <w:r w:rsidRPr="000452EC">
                    <w:tab/>
                  </w:r>
                </w:p>
              </w:tc>
              <w:tc>
                <w:tcPr>
                  <w:tcW w:w="866" w:type="pct"/>
                </w:tcPr>
                <w:p w14:paraId="291EFD29" w14:textId="77777777" w:rsidR="000452EC" w:rsidRDefault="000452EC" w:rsidP="009E7568">
                  <w:pPr>
                    <w:pStyle w:val="namerole"/>
                    <w:tabs>
                      <w:tab w:val="left" w:pos="855"/>
                    </w:tabs>
                  </w:pPr>
                  <w:r w:rsidRPr="000452EC">
                    <w:t>All</w:t>
                  </w:r>
                </w:p>
              </w:tc>
              <w:tc>
                <w:tcPr>
                  <w:tcW w:w="941" w:type="pct"/>
                </w:tcPr>
                <w:p w14:paraId="24E2C438" w14:textId="77777777" w:rsidR="000452EC" w:rsidRDefault="000452EC" w:rsidP="009E7568">
                  <w:pPr>
                    <w:pStyle w:val="namerole"/>
                  </w:pPr>
                  <w:r w:rsidRPr="000452EC">
                    <w:t>Late-August/early-September</w:t>
                  </w:r>
                </w:p>
              </w:tc>
              <w:tc>
                <w:tcPr>
                  <w:tcW w:w="1223" w:type="pct"/>
                </w:tcPr>
                <w:p w14:paraId="2A8E6645" w14:textId="77777777" w:rsidR="000452EC" w:rsidRDefault="000452EC" w:rsidP="009E7568">
                  <w:pPr>
                    <w:pStyle w:val="namerole"/>
                  </w:pPr>
                  <w:r w:rsidRPr="000452EC">
                    <w:t>Begin discussions to think about mitigation and regional perspective – add more value to species.</w:t>
                  </w:r>
                </w:p>
              </w:tc>
            </w:tr>
            <w:tr w:rsidR="000452EC" w:rsidRPr="00673A6D" w14:paraId="23A241DF" w14:textId="77777777" w:rsidTr="00D92B61">
              <w:tc>
                <w:tcPr>
                  <w:tcW w:w="294" w:type="pct"/>
                </w:tcPr>
                <w:p w14:paraId="084E222A" w14:textId="77777777" w:rsidR="000452EC" w:rsidRDefault="00074440" w:rsidP="009E7568">
                  <w:pPr>
                    <w:pStyle w:val="namerole"/>
                  </w:pPr>
                  <w:r>
                    <w:t>5</w:t>
                  </w:r>
                </w:p>
              </w:tc>
              <w:tc>
                <w:tcPr>
                  <w:tcW w:w="1676" w:type="pct"/>
                </w:tcPr>
                <w:p w14:paraId="38815E47" w14:textId="77777777" w:rsidR="000452EC" w:rsidRPr="000452EC" w:rsidRDefault="000452EC" w:rsidP="00616DC4">
                  <w:pPr>
                    <w:pStyle w:val="namerole"/>
                  </w:pPr>
                  <w:r>
                    <w:t>Funks Creek – Use of Creek</w:t>
                  </w:r>
                </w:p>
              </w:tc>
              <w:tc>
                <w:tcPr>
                  <w:tcW w:w="866" w:type="pct"/>
                </w:tcPr>
                <w:p w14:paraId="560AAC66" w14:textId="77777777" w:rsidR="000452EC" w:rsidRPr="000452EC" w:rsidRDefault="000452EC" w:rsidP="009E7568">
                  <w:pPr>
                    <w:pStyle w:val="namerole"/>
                    <w:tabs>
                      <w:tab w:val="left" w:pos="855"/>
                    </w:tabs>
                  </w:pPr>
                  <w:r>
                    <w:t>Ali F.</w:t>
                  </w:r>
                </w:p>
              </w:tc>
              <w:tc>
                <w:tcPr>
                  <w:tcW w:w="941" w:type="pct"/>
                </w:tcPr>
                <w:p w14:paraId="7284A064" w14:textId="77777777" w:rsidR="000452EC" w:rsidRPr="000452EC" w:rsidRDefault="000452EC" w:rsidP="009E7568">
                  <w:pPr>
                    <w:pStyle w:val="namerole"/>
                  </w:pPr>
                  <w:r>
                    <w:t>8/2/2019</w:t>
                  </w:r>
                </w:p>
              </w:tc>
              <w:tc>
                <w:tcPr>
                  <w:tcW w:w="1223" w:type="pct"/>
                </w:tcPr>
                <w:p w14:paraId="650A0646" w14:textId="77777777" w:rsidR="000452EC" w:rsidRDefault="000452EC" w:rsidP="009E7568">
                  <w:pPr>
                    <w:pStyle w:val="namerole"/>
                  </w:pPr>
                  <w:r>
                    <w:t>Follow up on use of Funks Creek</w:t>
                  </w:r>
                </w:p>
                <w:p w14:paraId="4C9FA5A3" w14:textId="77777777" w:rsidR="001310A4" w:rsidRPr="000452EC" w:rsidRDefault="001310A4" w:rsidP="009E7568">
                  <w:pPr>
                    <w:pStyle w:val="namerole"/>
                  </w:pPr>
                  <w:r w:rsidRPr="001310A4">
                    <w:rPr>
                      <w:color w:val="FF0000"/>
                    </w:rPr>
                    <w:t xml:space="preserve">Numerous water rights on both Funks and Stone Corral creeks. </w:t>
                  </w:r>
                </w:p>
              </w:tc>
            </w:tr>
            <w:tr w:rsidR="00074440" w:rsidRPr="00673A6D" w14:paraId="371A35D9" w14:textId="77777777" w:rsidTr="00D92B61">
              <w:tc>
                <w:tcPr>
                  <w:tcW w:w="294" w:type="pct"/>
                </w:tcPr>
                <w:p w14:paraId="22C5D1D1" w14:textId="77777777" w:rsidR="00074440" w:rsidRDefault="00074440" w:rsidP="009E7568">
                  <w:pPr>
                    <w:pStyle w:val="namerole"/>
                  </w:pPr>
                  <w:r>
                    <w:t>6</w:t>
                  </w:r>
                </w:p>
              </w:tc>
              <w:tc>
                <w:tcPr>
                  <w:tcW w:w="1676" w:type="pct"/>
                </w:tcPr>
                <w:p w14:paraId="1A0F158C" w14:textId="77777777" w:rsidR="00074440" w:rsidRDefault="00074440" w:rsidP="00616DC4">
                  <w:pPr>
                    <w:pStyle w:val="namerole"/>
                  </w:pPr>
                  <w:r>
                    <w:t>Coordinate with engineer to attend next meeting</w:t>
                  </w:r>
                </w:p>
              </w:tc>
              <w:tc>
                <w:tcPr>
                  <w:tcW w:w="866" w:type="pct"/>
                </w:tcPr>
                <w:p w14:paraId="4FBA4E6F" w14:textId="77777777" w:rsidR="00074440" w:rsidRDefault="00074440" w:rsidP="009E7568">
                  <w:pPr>
                    <w:pStyle w:val="namerole"/>
                    <w:tabs>
                      <w:tab w:val="left" w:pos="855"/>
                    </w:tabs>
                  </w:pPr>
                  <w:r>
                    <w:t>Authority</w:t>
                  </w:r>
                </w:p>
              </w:tc>
              <w:tc>
                <w:tcPr>
                  <w:tcW w:w="941" w:type="pct"/>
                </w:tcPr>
                <w:p w14:paraId="395FE977" w14:textId="77777777" w:rsidR="00074440" w:rsidRDefault="00074440" w:rsidP="00074440">
                  <w:pPr>
                    <w:pStyle w:val="namerole"/>
                  </w:pPr>
                  <w:r>
                    <w:t>8/13/2019</w:t>
                  </w:r>
                </w:p>
              </w:tc>
              <w:tc>
                <w:tcPr>
                  <w:tcW w:w="1223" w:type="pct"/>
                </w:tcPr>
                <w:p w14:paraId="2F8C5EB6" w14:textId="77777777" w:rsidR="00074440" w:rsidRDefault="00074440" w:rsidP="009E7568">
                  <w:pPr>
                    <w:pStyle w:val="namerole"/>
                  </w:pPr>
                </w:p>
              </w:tc>
            </w:tr>
            <w:tr w:rsidR="00074440" w:rsidRPr="00673A6D" w14:paraId="1C168BF7" w14:textId="77777777" w:rsidTr="00D92B61">
              <w:tc>
                <w:tcPr>
                  <w:tcW w:w="294" w:type="pct"/>
                </w:tcPr>
                <w:p w14:paraId="0390957C" w14:textId="77777777" w:rsidR="00074440" w:rsidRDefault="00074440" w:rsidP="009E7568">
                  <w:pPr>
                    <w:pStyle w:val="namerole"/>
                  </w:pPr>
                  <w:r>
                    <w:t>7</w:t>
                  </w:r>
                </w:p>
              </w:tc>
              <w:tc>
                <w:tcPr>
                  <w:tcW w:w="1676" w:type="pct"/>
                </w:tcPr>
                <w:p w14:paraId="5CC36CBE" w14:textId="77777777" w:rsidR="00074440" w:rsidRDefault="00074440" w:rsidP="00616DC4">
                  <w:pPr>
                    <w:pStyle w:val="namerole"/>
                  </w:pPr>
                  <w:r>
                    <w:t>Send GIS to CDFW</w:t>
                  </w:r>
                </w:p>
              </w:tc>
              <w:tc>
                <w:tcPr>
                  <w:tcW w:w="866" w:type="pct"/>
                </w:tcPr>
                <w:p w14:paraId="502FA5CA" w14:textId="77777777" w:rsidR="00074440" w:rsidRDefault="00074440" w:rsidP="009E7568">
                  <w:pPr>
                    <w:pStyle w:val="namerole"/>
                    <w:tabs>
                      <w:tab w:val="left" w:pos="855"/>
                    </w:tabs>
                  </w:pPr>
                  <w:r>
                    <w:t>Authority</w:t>
                  </w:r>
                </w:p>
              </w:tc>
              <w:tc>
                <w:tcPr>
                  <w:tcW w:w="941" w:type="pct"/>
                </w:tcPr>
                <w:p w14:paraId="4EF81E62" w14:textId="77777777" w:rsidR="00074440" w:rsidRDefault="00074440" w:rsidP="00074440">
                  <w:pPr>
                    <w:pStyle w:val="namerole"/>
                  </w:pPr>
                  <w:r>
                    <w:t>8/13/2019</w:t>
                  </w:r>
                </w:p>
              </w:tc>
              <w:tc>
                <w:tcPr>
                  <w:tcW w:w="1223" w:type="pct"/>
                </w:tcPr>
                <w:p w14:paraId="1FB273F0" w14:textId="77777777" w:rsidR="00074440" w:rsidRDefault="00074440" w:rsidP="009E7568">
                  <w:pPr>
                    <w:pStyle w:val="namerole"/>
                  </w:pPr>
                </w:p>
              </w:tc>
            </w:tr>
          </w:tbl>
          <w:p w14:paraId="28044B0A" w14:textId="77777777" w:rsidR="00EB4DC4" w:rsidRDefault="00EB4DC4" w:rsidP="00014D42">
            <w:pPr>
              <w:spacing w:before="60" w:after="60"/>
              <w:rPr>
                <w:color w:val="000000" w:themeColor="text1"/>
                <w:szCs w:val="22"/>
              </w:rPr>
            </w:pPr>
          </w:p>
        </w:tc>
      </w:tr>
    </w:tbl>
    <w:p w14:paraId="182A3B18" w14:textId="77777777" w:rsidR="00D7791C" w:rsidRDefault="00D7791C"/>
    <w:tbl>
      <w:tblPr>
        <w:tblStyle w:val="TableGrid"/>
        <w:tblW w:w="10235" w:type="dxa"/>
        <w:tblInd w:w="115" w:type="dxa"/>
        <w:tblLayout w:type="fixed"/>
        <w:tblCellMar>
          <w:top w:w="43" w:type="dxa"/>
          <w:left w:w="115" w:type="dxa"/>
          <w:right w:w="115" w:type="dxa"/>
        </w:tblCellMar>
        <w:tblLook w:val="04A0" w:firstRow="1" w:lastRow="0" w:firstColumn="1" w:lastColumn="0" w:noHBand="0" w:noVBand="1"/>
      </w:tblPr>
      <w:tblGrid>
        <w:gridCol w:w="6185"/>
        <w:gridCol w:w="2340"/>
        <w:gridCol w:w="1710"/>
      </w:tblGrid>
      <w:tr w:rsidR="004B671B" w:rsidRPr="00D92B61" w14:paraId="0E590E5D" w14:textId="77777777" w:rsidTr="007A39C8">
        <w:trPr>
          <w:trHeight w:val="433"/>
        </w:trPr>
        <w:tc>
          <w:tcPr>
            <w:tcW w:w="6185" w:type="dxa"/>
            <w:tcBorders>
              <w:left w:val="nil"/>
              <w:right w:val="nil"/>
            </w:tcBorders>
            <w:shd w:val="clear" w:color="auto" w:fill="D9D9D9" w:themeFill="background1" w:themeFillShade="D9"/>
          </w:tcPr>
          <w:p w14:paraId="2729CB02" w14:textId="77777777" w:rsidR="004B671B" w:rsidRPr="00D92B61" w:rsidRDefault="00BE014C" w:rsidP="004B671B">
            <w:pPr>
              <w:pStyle w:val="mainbodytext"/>
              <w:spacing w:before="60" w:after="60"/>
              <w:rPr>
                <w:rStyle w:val="Style2"/>
                <w:b/>
                <w:sz w:val="20"/>
              </w:rPr>
            </w:pPr>
            <w:r>
              <w:rPr>
                <w:rStyle w:val="Style2"/>
                <w:b/>
                <w:sz w:val="20"/>
              </w:rPr>
              <w:lastRenderedPageBreak/>
              <w:t>Minutes</w:t>
            </w:r>
          </w:p>
        </w:tc>
        <w:tc>
          <w:tcPr>
            <w:tcW w:w="2340" w:type="dxa"/>
            <w:tcBorders>
              <w:left w:val="nil"/>
              <w:right w:val="nil"/>
            </w:tcBorders>
            <w:shd w:val="clear" w:color="auto" w:fill="D9D9D9" w:themeFill="background1" w:themeFillShade="D9"/>
          </w:tcPr>
          <w:p w14:paraId="095DC38D" w14:textId="77777777" w:rsidR="004B671B" w:rsidRPr="00D92B61" w:rsidRDefault="004B671B" w:rsidP="007B5F6A">
            <w:pPr>
              <w:pStyle w:val="mainbodytext"/>
              <w:spacing w:before="60" w:after="60"/>
              <w:ind w:left="-835"/>
              <w:rPr>
                <w:color w:val="000000" w:themeColor="text1"/>
              </w:rPr>
            </w:pPr>
          </w:p>
        </w:tc>
        <w:tc>
          <w:tcPr>
            <w:tcW w:w="1710" w:type="dxa"/>
            <w:tcBorders>
              <w:left w:val="nil"/>
              <w:right w:val="nil"/>
            </w:tcBorders>
            <w:shd w:val="clear" w:color="auto" w:fill="D9D9D9" w:themeFill="background1" w:themeFillShade="D9"/>
          </w:tcPr>
          <w:p w14:paraId="6D23B80F" w14:textId="77777777" w:rsidR="004B671B" w:rsidRPr="00D92B61" w:rsidRDefault="004B671B" w:rsidP="004B671B">
            <w:pPr>
              <w:pStyle w:val="mainbodytext"/>
              <w:spacing w:before="60" w:after="60"/>
            </w:pPr>
          </w:p>
        </w:tc>
      </w:tr>
    </w:tbl>
    <w:p w14:paraId="0988C374" w14:textId="77777777" w:rsidR="001310A4" w:rsidRDefault="001310A4" w:rsidP="00D92B61"/>
    <w:p w14:paraId="5EBEFF6C" w14:textId="77777777" w:rsidR="001310A4" w:rsidRDefault="001310A4" w:rsidP="000C62CC">
      <w:pPr>
        <w:pStyle w:val="ListParagraph"/>
        <w:numPr>
          <w:ilvl w:val="0"/>
          <w:numId w:val="13"/>
        </w:numPr>
      </w:pPr>
      <w:r>
        <w:t>Follow up from 8/2 Field Visit</w:t>
      </w:r>
    </w:p>
    <w:p w14:paraId="6059BA9C" w14:textId="77777777" w:rsidR="001310A4" w:rsidRDefault="001310A4" w:rsidP="00074440">
      <w:pPr>
        <w:pStyle w:val="ListParagraph"/>
        <w:numPr>
          <w:ilvl w:val="1"/>
          <w:numId w:val="17"/>
        </w:numPr>
      </w:pPr>
      <w:r>
        <w:t>I</w:t>
      </w:r>
      <w:r w:rsidR="000C62CC">
        <w:t>f meeting with other agencies, maybe attend future site meetings</w:t>
      </w:r>
      <w:r w:rsidR="00BE014C">
        <w:t xml:space="preserve"> together</w:t>
      </w:r>
      <w:r w:rsidR="000C62CC">
        <w:t xml:space="preserve"> to be on same page. </w:t>
      </w:r>
    </w:p>
    <w:p w14:paraId="6D58CD7C" w14:textId="77777777" w:rsidR="000C62CC" w:rsidRDefault="00BE014C" w:rsidP="00074440">
      <w:pPr>
        <w:pStyle w:val="ListParagraph"/>
        <w:numPr>
          <w:ilvl w:val="1"/>
          <w:numId w:val="17"/>
        </w:numPr>
      </w:pPr>
      <w:r>
        <w:t xml:space="preserve">Previous meeting notes </w:t>
      </w:r>
      <w:r w:rsidR="00917327">
        <w:t>referred</w:t>
      </w:r>
      <w:r w:rsidR="000C62CC">
        <w:t xml:space="preserve"> to “historical” CDFW perspective of no GGS habitat west of GCID canal. However, based on field visit, agree due to presence of orchards etc. </w:t>
      </w:r>
    </w:p>
    <w:p w14:paraId="02CFED96" w14:textId="77777777" w:rsidR="000C62CC" w:rsidRDefault="000C62CC" w:rsidP="00074440">
      <w:pPr>
        <w:pStyle w:val="ListParagraph"/>
        <w:numPr>
          <w:ilvl w:val="1"/>
          <w:numId w:val="17"/>
        </w:numPr>
      </w:pPr>
      <w:r>
        <w:t xml:space="preserve">Fletcher concept – understanding the outfall structure vs. fletcher option. </w:t>
      </w:r>
    </w:p>
    <w:p w14:paraId="7DDA3761" w14:textId="77777777" w:rsidR="000C62CC" w:rsidRDefault="000C62CC" w:rsidP="00074440">
      <w:pPr>
        <w:pStyle w:val="ListParagraph"/>
        <w:numPr>
          <w:ilvl w:val="1"/>
          <w:numId w:val="17"/>
        </w:numPr>
      </w:pPr>
      <w:r>
        <w:t xml:space="preserve">Further discussion on design options – </w:t>
      </w:r>
      <w:r w:rsidRPr="000C62CC">
        <w:rPr>
          <w:color w:val="FF0000"/>
        </w:rPr>
        <w:t xml:space="preserve">engineering team to attend next week’s meeting. </w:t>
      </w:r>
      <w:r>
        <w:t xml:space="preserve">Current GIS developed with “on” and “off” features. </w:t>
      </w:r>
      <w:r w:rsidRPr="000C62CC">
        <w:rPr>
          <w:color w:val="FF0000"/>
        </w:rPr>
        <w:t xml:space="preserve">Follow up </w:t>
      </w:r>
      <w:r w:rsidR="00074440">
        <w:rPr>
          <w:color w:val="FF0000"/>
        </w:rPr>
        <w:t>on GIS and send to CDFW</w:t>
      </w:r>
      <w:r w:rsidRPr="000C62CC">
        <w:rPr>
          <w:color w:val="FF0000"/>
        </w:rPr>
        <w:t>.</w:t>
      </w:r>
      <w:r>
        <w:t xml:space="preserve"> </w:t>
      </w:r>
    </w:p>
    <w:p w14:paraId="378B84AB" w14:textId="70C1715A" w:rsidR="00335BD5" w:rsidRDefault="000C62CC" w:rsidP="00074440">
      <w:pPr>
        <w:pStyle w:val="ListParagraph"/>
        <w:numPr>
          <w:ilvl w:val="1"/>
          <w:numId w:val="17"/>
        </w:numPr>
      </w:pPr>
      <w:r>
        <w:t>Look</w:t>
      </w:r>
      <w:r w:rsidR="00335BD5">
        <w:t xml:space="preserve">ing at the intake was valuable to get idea of quality of cuckoo habitat. Doing preconstruction surveys is key to provide input on habitat use. </w:t>
      </w:r>
      <w:r w:rsidR="00D66AE7">
        <w:t>Intake area may not provide suitable nesting habitat per Dettling, et. al</w:t>
      </w:r>
      <w:r w:rsidR="00217E44">
        <w:t xml:space="preserve">. (2015) </w:t>
      </w:r>
      <w:r w:rsidR="00D66AE7">
        <w:t>, but may provide foraging habitat and should be considered in CEQA analysis.</w:t>
      </w:r>
      <w:r w:rsidR="00217E44">
        <w:t xml:space="preserve"> Similar to BANS note below, should consider indirect effects to WYBC for intake structure impacts.</w:t>
      </w:r>
    </w:p>
    <w:p w14:paraId="7E6D6B69" w14:textId="77777777" w:rsidR="00335BD5" w:rsidRDefault="00074440" w:rsidP="00074440">
      <w:pPr>
        <w:pStyle w:val="ListParagraph"/>
        <w:numPr>
          <w:ilvl w:val="1"/>
          <w:numId w:val="17"/>
        </w:numPr>
      </w:pPr>
      <w:r>
        <w:t>CDFW r</w:t>
      </w:r>
      <w:r w:rsidR="00335BD5">
        <w:t xml:space="preserve">eviewing NOE and </w:t>
      </w:r>
      <w:r>
        <w:t xml:space="preserve">will </w:t>
      </w:r>
      <w:r w:rsidR="00335BD5">
        <w:t>provide feedback by end of week.</w:t>
      </w:r>
    </w:p>
    <w:p w14:paraId="46BE8C70" w14:textId="77777777" w:rsidR="00335BD5" w:rsidRDefault="00335BD5" w:rsidP="00074440">
      <w:pPr>
        <w:pStyle w:val="ListParagraph"/>
        <w:numPr>
          <w:ilvl w:val="1"/>
          <w:numId w:val="17"/>
        </w:numPr>
      </w:pPr>
      <w:r>
        <w:t xml:space="preserve">Bank swallow – proximity, noise, etc. </w:t>
      </w:r>
    </w:p>
    <w:p w14:paraId="171E70BE" w14:textId="77777777" w:rsidR="00335BD5" w:rsidRDefault="00074440" w:rsidP="00074440">
      <w:pPr>
        <w:pStyle w:val="ListParagraph"/>
        <w:numPr>
          <w:ilvl w:val="1"/>
          <w:numId w:val="17"/>
        </w:numPr>
      </w:pPr>
      <w:r>
        <w:t>Geotech. CDFW will</w:t>
      </w:r>
      <w:r w:rsidR="00335BD5">
        <w:t xml:space="preserve"> review AMM’s for the geotech work. </w:t>
      </w:r>
    </w:p>
    <w:p w14:paraId="05D7EA84" w14:textId="77777777" w:rsidR="00433DA0" w:rsidRDefault="00335BD5" w:rsidP="00074440">
      <w:pPr>
        <w:pStyle w:val="ListParagraph"/>
        <w:numPr>
          <w:ilvl w:val="2"/>
          <w:numId w:val="18"/>
        </w:numPr>
      </w:pPr>
      <w:r>
        <w:t xml:space="preserve">Wording of killing, harming, etc. </w:t>
      </w:r>
      <w:r w:rsidR="00074440">
        <w:t>is a concern</w:t>
      </w:r>
    </w:p>
    <w:p w14:paraId="474C73FD" w14:textId="24EB87AC" w:rsidR="00433DA0" w:rsidRDefault="00074440" w:rsidP="00074440">
      <w:pPr>
        <w:pStyle w:val="ListParagraph"/>
        <w:numPr>
          <w:ilvl w:val="2"/>
          <w:numId w:val="18"/>
        </w:numPr>
      </w:pPr>
      <w:r>
        <w:t>Agreement to h</w:t>
      </w:r>
      <w:r w:rsidR="00433DA0">
        <w:t xml:space="preserve">ave joint meeting with USFWS when they are developing BO. </w:t>
      </w:r>
    </w:p>
    <w:p w14:paraId="35BF5966" w14:textId="77777777" w:rsidR="00B63AF9" w:rsidRDefault="00074440" w:rsidP="00074440">
      <w:pPr>
        <w:pStyle w:val="ListParagraph"/>
        <w:numPr>
          <w:ilvl w:val="2"/>
          <w:numId w:val="18"/>
        </w:numPr>
      </w:pPr>
      <w:r>
        <w:t>Discussed whether a</w:t>
      </w:r>
      <w:r w:rsidR="00433DA0">
        <w:t xml:space="preserve"> NOE still acceptable with ITP or </w:t>
      </w:r>
      <w:r>
        <w:t>consistency determination</w:t>
      </w:r>
      <w:r w:rsidR="00433DA0">
        <w:t>?</w:t>
      </w:r>
    </w:p>
    <w:p w14:paraId="5B0A86ED" w14:textId="61D29356" w:rsidR="000C62CC" w:rsidRDefault="00B63AF9" w:rsidP="00B63AF9">
      <w:pPr>
        <w:pStyle w:val="ListParagraph"/>
        <w:numPr>
          <w:ilvl w:val="3"/>
          <w:numId w:val="18"/>
        </w:numPr>
      </w:pPr>
      <w:r>
        <w:t xml:space="preserve">NOE’s not typically acceptable for ITP’s, but CD’s are not discretioanary actions that do no require CEQA. Federal Agencies are listed as Permitttees under section 2081.2(a)(3) of the Fish and Game Code. </w:t>
      </w:r>
      <w:r w:rsidR="00335BD5">
        <w:t xml:space="preserve"> </w:t>
      </w:r>
      <w:r w:rsidR="000C62CC">
        <w:t xml:space="preserve"> </w:t>
      </w:r>
    </w:p>
    <w:p w14:paraId="3DE72005" w14:textId="77777777" w:rsidR="001310A4" w:rsidRDefault="001310A4" w:rsidP="005D0DC7">
      <w:pPr>
        <w:pStyle w:val="ListParagraph"/>
        <w:numPr>
          <w:ilvl w:val="0"/>
          <w:numId w:val="13"/>
        </w:numPr>
      </w:pPr>
      <w:r>
        <w:t xml:space="preserve">Continued Discussion of Terrestrial Species </w:t>
      </w:r>
    </w:p>
    <w:p w14:paraId="66C42533" w14:textId="77777777" w:rsidR="001310A4" w:rsidRDefault="001310A4" w:rsidP="00074440">
      <w:pPr>
        <w:pStyle w:val="ListParagraph"/>
        <w:numPr>
          <w:ilvl w:val="1"/>
          <w:numId w:val="17"/>
        </w:numPr>
      </w:pPr>
      <w:r>
        <w:t>Fully Protected Species Conservation Measures</w:t>
      </w:r>
    </w:p>
    <w:p w14:paraId="0DD3F703" w14:textId="77777777" w:rsidR="00433DA0" w:rsidRDefault="007C10BC" w:rsidP="00433DA0">
      <w:pPr>
        <w:pStyle w:val="ListParagraph"/>
        <w:numPr>
          <w:ilvl w:val="1"/>
          <w:numId w:val="15"/>
        </w:numPr>
      </w:pPr>
      <w:r>
        <w:t xml:space="preserve">Discussed last week with example. Provided CDFW a draft </w:t>
      </w:r>
      <w:r w:rsidR="00917327">
        <w:t>write-up</w:t>
      </w:r>
      <w:r>
        <w:t xml:space="preserve"> of proposed AMM’s for all fully protected species. </w:t>
      </w:r>
      <w:r w:rsidR="00074440">
        <w:rPr>
          <w:color w:val="FF0000"/>
        </w:rPr>
        <w:t>ICF</w:t>
      </w:r>
      <w:r w:rsidRPr="007C10BC">
        <w:rPr>
          <w:color w:val="FF0000"/>
        </w:rPr>
        <w:t xml:space="preserve"> to send to </w:t>
      </w:r>
      <w:r w:rsidR="00074440">
        <w:rPr>
          <w:color w:val="FF0000"/>
        </w:rPr>
        <w:t>CDFW</w:t>
      </w:r>
      <w:r>
        <w:rPr>
          <w:color w:val="FF0000"/>
        </w:rPr>
        <w:t xml:space="preserve"> for review</w:t>
      </w:r>
      <w:r w:rsidRPr="007C10BC">
        <w:rPr>
          <w:color w:val="FF0000"/>
        </w:rPr>
        <w:t xml:space="preserve">. </w:t>
      </w:r>
    </w:p>
    <w:p w14:paraId="17B7EDA2" w14:textId="77777777" w:rsidR="001310A4" w:rsidRDefault="001310A4" w:rsidP="00074440">
      <w:pPr>
        <w:pStyle w:val="ListParagraph"/>
        <w:numPr>
          <w:ilvl w:val="1"/>
          <w:numId w:val="17"/>
        </w:numPr>
      </w:pPr>
      <w:r>
        <w:t>Geotech Environmental Commitments</w:t>
      </w:r>
    </w:p>
    <w:p w14:paraId="06241488" w14:textId="77777777" w:rsidR="00E231FF" w:rsidRDefault="00E231FF" w:rsidP="00BB0793">
      <w:pPr>
        <w:pStyle w:val="ListParagraph"/>
        <w:numPr>
          <w:ilvl w:val="2"/>
          <w:numId w:val="17"/>
        </w:numPr>
      </w:pPr>
      <w:r>
        <w:t xml:space="preserve">Ian reviewing </w:t>
      </w:r>
      <w:r w:rsidR="00CE7DAF">
        <w:t>and will</w:t>
      </w:r>
      <w:r>
        <w:t xml:space="preserve"> get feedback </w:t>
      </w:r>
      <w:r w:rsidR="00CE7DAF">
        <w:t xml:space="preserve">to team by end of week to incorporate into the geotech BA. </w:t>
      </w:r>
    </w:p>
    <w:p w14:paraId="31344D1F" w14:textId="77777777" w:rsidR="001310A4" w:rsidRDefault="001310A4" w:rsidP="00074440">
      <w:pPr>
        <w:pStyle w:val="ListParagraph"/>
        <w:numPr>
          <w:ilvl w:val="1"/>
          <w:numId w:val="17"/>
        </w:numPr>
      </w:pPr>
      <w:r>
        <w:t>Discuss measures proposed to protect birds during construction</w:t>
      </w:r>
    </w:p>
    <w:p w14:paraId="3E7F5C14" w14:textId="77777777" w:rsidR="00E231FF" w:rsidRDefault="00E231FF" w:rsidP="00BB0793">
      <w:pPr>
        <w:pStyle w:val="ListParagraph"/>
        <w:numPr>
          <w:ilvl w:val="2"/>
          <w:numId w:val="17"/>
        </w:numPr>
      </w:pPr>
      <w:r>
        <w:t>In geotech have migratory bird measure</w:t>
      </w:r>
      <w:r w:rsidR="00CE7DAF">
        <w:t>/nesting bird measures (Bio-9)</w:t>
      </w:r>
      <w:r>
        <w:t xml:space="preserve">. If one in EIR is deficient, make similar. </w:t>
      </w:r>
    </w:p>
    <w:p w14:paraId="36FC3F7C" w14:textId="77777777" w:rsidR="001310A4" w:rsidRDefault="001310A4" w:rsidP="00074440">
      <w:pPr>
        <w:pStyle w:val="ListParagraph"/>
        <w:numPr>
          <w:ilvl w:val="1"/>
          <w:numId w:val="17"/>
        </w:numPr>
      </w:pPr>
      <w:r>
        <w:t>Special-status plant surveys and measures</w:t>
      </w:r>
    </w:p>
    <w:p w14:paraId="061C582F" w14:textId="77777777" w:rsidR="00CE7DAF" w:rsidRDefault="00CE7DAF" w:rsidP="00074440">
      <w:pPr>
        <w:pStyle w:val="ListParagraph"/>
        <w:numPr>
          <w:ilvl w:val="0"/>
          <w:numId w:val="19"/>
        </w:numPr>
      </w:pPr>
      <w:r>
        <w:t xml:space="preserve">Measure (Bio-20) included in the NOE for plant </w:t>
      </w:r>
      <w:r w:rsidR="00917327">
        <w:t>surveys</w:t>
      </w:r>
      <w:r>
        <w:t xml:space="preserve">. Team will check for consistency between the geotech NOE and Draft EIR </w:t>
      </w:r>
    </w:p>
    <w:p w14:paraId="086FB847" w14:textId="77777777" w:rsidR="00CE7DAF" w:rsidRDefault="00CE7DAF" w:rsidP="00074440">
      <w:pPr>
        <w:pStyle w:val="ListParagraph"/>
        <w:numPr>
          <w:ilvl w:val="0"/>
          <w:numId w:val="19"/>
        </w:numPr>
      </w:pPr>
      <w:r>
        <w:t xml:space="preserve">CDFW typically recommends protocol level surveys, which may not be able to be done for geotech due to site access. Expand comments on the overall </w:t>
      </w:r>
      <w:r w:rsidR="00917327">
        <w:t>projects and</w:t>
      </w:r>
      <w:r>
        <w:t xml:space="preserve"> include in EIR (try and do protocol level surveys for sensitive and natural areas). </w:t>
      </w:r>
    </w:p>
    <w:p w14:paraId="40FD2DEC" w14:textId="426A3579" w:rsidR="003D2DFA" w:rsidRDefault="00CE7DAF" w:rsidP="00B63AF9">
      <w:pPr>
        <w:pStyle w:val="ListParagraph"/>
        <w:numPr>
          <w:ilvl w:val="0"/>
          <w:numId w:val="20"/>
        </w:numPr>
        <w:spacing w:before="240"/>
      </w:pPr>
      <w:r>
        <w:t>Continuously update the modeling as surveys are being completed, as species are discovered (beyond CNDDB)</w:t>
      </w:r>
      <w:r w:rsidR="003D2DFA">
        <w:t xml:space="preserve">. Annual monitoring to see how things have changed. </w:t>
      </w:r>
    </w:p>
    <w:p w14:paraId="4BD77E11" w14:textId="6F082233" w:rsidR="003D2DFA" w:rsidRDefault="00917327" w:rsidP="00B63AF9">
      <w:pPr>
        <w:pStyle w:val="ListParagraph"/>
        <w:numPr>
          <w:ilvl w:val="0"/>
          <w:numId w:val="19"/>
        </w:numPr>
      </w:pPr>
      <w:r>
        <w:t>Updating</w:t>
      </w:r>
      <w:r w:rsidR="003D2DFA">
        <w:t xml:space="preserve"> modeling to make case to build in flexibility, document land use changes, etc. ICF following up whether a conservation measure in EIR or in ITP?</w:t>
      </w:r>
      <w:r w:rsidR="00B63AF9">
        <w:t xml:space="preserve"> </w:t>
      </w:r>
      <w:r w:rsidR="00B63AF9" w:rsidRPr="00B63AF9">
        <w:t>Would likely be a requirement in ITP.</w:t>
      </w:r>
    </w:p>
    <w:p w14:paraId="250C2905" w14:textId="5830855A" w:rsidR="001310A4" w:rsidRDefault="001310A4" w:rsidP="00B63AF9">
      <w:pPr>
        <w:pStyle w:val="ListParagraph"/>
        <w:numPr>
          <w:ilvl w:val="0"/>
          <w:numId w:val="20"/>
        </w:numPr>
      </w:pPr>
      <w:r>
        <w:t>Other</w:t>
      </w:r>
    </w:p>
    <w:p w14:paraId="5E8E6C4C" w14:textId="77777777" w:rsidR="007E3263" w:rsidRPr="001663A4" w:rsidRDefault="007E3263" w:rsidP="00B63AF9">
      <w:pPr>
        <w:pStyle w:val="ListParagraph"/>
        <w:numPr>
          <w:ilvl w:val="1"/>
          <w:numId w:val="20"/>
        </w:numPr>
      </w:pPr>
      <w:r>
        <w:t xml:space="preserve">Mitigation meeting – </w:t>
      </w:r>
      <w:r w:rsidR="00BB0793">
        <w:t xml:space="preserve">Sites Authority have another </w:t>
      </w:r>
      <w:r>
        <w:t xml:space="preserve">internal meeting </w:t>
      </w:r>
      <w:r w:rsidR="00BB0793">
        <w:t xml:space="preserve">and then intents to </w:t>
      </w:r>
      <w:r>
        <w:t>start engaging agencies for collaboration.</w:t>
      </w:r>
      <w:r w:rsidR="00BB0793">
        <w:t xml:space="preserve"> Intending to i</w:t>
      </w:r>
      <w:r>
        <w:t xml:space="preserve">nvite CDFW, </w:t>
      </w:r>
      <w:r w:rsidR="00BB0793">
        <w:t xml:space="preserve">including </w:t>
      </w:r>
      <w:r>
        <w:t xml:space="preserve">regional staff, USFWS, NMFS, NGO’s, ag land </w:t>
      </w:r>
      <w:r w:rsidR="00917327">
        <w:t>organizations</w:t>
      </w:r>
      <w:r>
        <w:t xml:space="preserve">, </w:t>
      </w:r>
      <w:r w:rsidR="00BB0793">
        <w:t>mitigation banks (</w:t>
      </w:r>
      <w:r>
        <w:t>Westervelt</w:t>
      </w:r>
      <w:r w:rsidR="00BB0793">
        <w:t>)</w:t>
      </w:r>
      <w:r>
        <w:t xml:space="preserve">, etc. </w:t>
      </w:r>
      <w:bookmarkStart w:id="0" w:name="_GoBack"/>
      <w:bookmarkEnd w:id="0"/>
    </w:p>
    <w:sectPr w:rsidR="007E3263" w:rsidRPr="001663A4" w:rsidSect="009265BA">
      <w:headerReference w:type="default" r:id="rId12"/>
      <w:pgSz w:w="12240" w:h="15840" w:code="1"/>
      <w:pgMar w:top="245" w:right="720" w:bottom="720" w:left="72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898D5" w16cid:durableId="20F81846"/>
  <w16cid:commentId w16cid:paraId="6702DE00" w16cid:durableId="20F8193A"/>
  <w16cid:commentId w16cid:paraId="1F412DB8" w16cid:durableId="20F81B7C"/>
  <w16cid:commentId w16cid:paraId="154BEF50" w16cid:durableId="20F81A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E7603" w14:textId="77777777" w:rsidR="00030381" w:rsidRDefault="00030381" w:rsidP="009C4219">
      <w:r>
        <w:separator/>
      </w:r>
    </w:p>
  </w:endnote>
  <w:endnote w:type="continuationSeparator" w:id="0">
    <w:p w14:paraId="15EEEAAE" w14:textId="77777777" w:rsidR="00030381" w:rsidRDefault="00030381"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E6845" w14:textId="77777777" w:rsidR="00030381" w:rsidRDefault="00030381" w:rsidP="009C4219">
      <w:r>
        <w:separator/>
      </w:r>
    </w:p>
  </w:footnote>
  <w:footnote w:type="continuationSeparator" w:id="0">
    <w:p w14:paraId="39A78255" w14:textId="77777777" w:rsidR="00030381" w:rsidRDefault="00030381" w:rsidP="009C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52F8" w14:textId="77777777" w:rsidR="00DA57BC" w:rsidRDefault="00DA57BC" w:rsidP="009F40EE">
    <w:r>
      <w:rPr>
        <w:noProof/>
        <w:lang w:bidi="ar-SA"/>
      </w:rPr>
      <mc:AlternateContent>
        <mc:Choice Requires="wpg">
          <w:drawing>
            <wp:anchor distT="0" distB="0" distL="114300" distR="114300" simplePos="0" relativeHeight="251659264" behindDoc="0" locked="0" layoutInCell="1" allowOverlap="1" wp14:anchorId="0896A925" wp14:editId="16E3990E">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47372CC" w14:textId="77777777" w:rsidR="00DA57BC" w:rsidRDefault="00DA57BC"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12699CA" w14:textId="77777777" w:rsidR="00DA57BC" w:rsidRDefault="00DA57BC"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96A925"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347372CC" w14:textId="77777777" w:rsidR="00DA57BC" w:rsidRDefault="00DA57BC"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612699CA" w14:textId="77777777" w:rsidR="00DA57BC" w:rsidRDefault="00DA57BC" w:rsidP="009F40EE">
                      <w:pPr>
                        <w:rPr>
                          <w:rFonts w:eastAsia="Times New Roman"/>
                        </w:rPr>
                      </w:pPr>
                    </w:p>
                  </w:txbxContent>
                </v:textbox>
              </v:rect>
            </v:group>
          </w:pict>
        </mc:Fallback>
      </mc:AlternateContent>
    </w:r>
  </w:p>
  <w:p w14:paraId="2553E58A" w14:textId="77777777" w:rsidR="00DA57BC" w:rsidRDefault="00DA5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BE2"/>
    <w:multiLevelType w:val="hybridMultilevel"/>
    <w:tmpl w:val="66B8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541F"/>
    <w:multiLevelType w:val="hybridMultilevel"/>
    <w:tmpl w:val="F1F882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EE5CB8"/>
    <w:multiLevelType w:val="hybridMultilevel"/>
    <w:tmpl w:val="94E0DD7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D74CF9"/>
    <w:multiLevelType w:val="hybridMultilevel"/>
    <w:tmpl w:val="7CF8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2297C"/>
    <w:multiLevelType w:val="hybridMultilevel"/>
    <w:tmpl w:val="993611FC"/>
    <w:lvl w:ilvl="0" w:tplc="E856DB16">
      <w:start w:val="3"/>
      <w:numFmt w:val="decimal"/>
      <w:lvlText w:val="%1."/>
      <w:lvlJc w:val="left"/>
      <w:pPr>
        <w:ind w:left="1170" w:hanging="72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F58CB"/>
    <w:multiLevelType w:val="hybridMultilevel"/>
    <w:tmpl w:val="FD82E9B6"/>
    <w:lvl w:ilvl="0" w:tplc="296201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C5F50"/>
    <w:multiLevelType w:val="hybridMultilevel"/>
    <w:tmpl w:val="B9661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35F5D"/>
    <w:multiLevelType w:val="hybridMultilevel"/>
    <w:tmpl w:val="9284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11" w15:restartNumberingAfterBreak="0">
    <w:nsid w:val="2AC7456E"/>
    <w:multiLevelType w:val="hybridMultilevel"/>
    <w:tmpl w:val="92EE5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6347C"/>
    <w:multiLevelType w:val="hybridMultilevel"/>
    <w:tmpl w:val="7D906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A277B"/>
    <w:multiLevelType w:val="hybridMultilevel"/>
    <w:tmpl w:val="993611FC"/>
    <w:lvl w:ilvl="0" w:tplc="E856DB16">
      <w:start w:val="3"/>
      <w:numFmt w:val="decimal"/>
      <w:lvlText w:val="%1."/>
      <w:lvlJc w:val="left"/>
      <w:pPr>
        <w:ind w:left="1170" w:hanging="72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F16044"/>
    <w:multiLevelType w:val="hybridMultilevel"/>
    <w:tmpl w:val="A28A0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86630B"/>
    <w:multiLevelType w:val="hybridMultilevel"/>
    <w:tmpl w:val="682A7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27B10"/>
    <w:multiLevelType w:val="hybridMultilevel"/>
    <w:tmpl w:val="C18470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112B0"/>
    <w:multiLevelType w:val="hybridMultilevel"/>
    <w:tmpl w:val="2BE0B90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FC4D80"/>
    <w:multiLevelType w:val="hybridMultilevel"/>
    <w:tmpl w:val="CDBE9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F530DE"/>
    <w:multiLevelType w:val="hybridMultilevel"/>
    <w:tmpl w:val="7D26A812"/>
    <w:lvl w:ilvl="0" w:tplc="29620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1"/>
  </w:num>
  <w:num w:numId="5">
    <w:abstractNumId w:val="7"/>
  </w:num>
  <w:num w:numId="6">
    <w:abstractNumId w:val="2"/>
  </w:num>
  <w:num w:numId="7">
    <w:abstractNumId w:val="14"/>
  </w:num>
  <w:num w:numId="8">
    <w:abstractNumId w:val="15"/>
  </w:num>
  <w:num w:numId="9">
    <w:abstractNumId w:val="12"/>
  </w:num>
  <w:num w:numId="10">
    <w:abstractNumId w:val="0"/>
  </w:num>
  <w:num w:numId="11">
    <w:abstractNumId w:val="18"/>
  </w:num>
  <w:num w:numId="12">
    <w:abstractNumId w:val="19"/>
  </w:num>
  <w:num w:numId="13">
    <w:abstractNumId w:val="5"/>
  </w:num>
  <w:num w:numId="14">
    <w:abstractNumId w:val="3"/>
  </w:num>
  <w:num w:numId="15">
    <w:abstractNumId w:val="13"/>
  </w:num>
  <w:num w:numId="16">
    <w:abstractNumId w:val="1"/>
  </w:num>
  <w:num w:numId="17">
    <w:abstractNumId w:val="16"/>
  </w:num>
  <w:num w:numId="18">
    <w:abstractNumId w:val="9"/>
  </w:num>
  <w:num w:numId="19">
    <w:abstractNumId w:val="17"/>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C"/>
    <w:rsid w:val="000123AD"/>
    <w:rsid w:val="00014D42"/>
    <w:rsid w:val="00025E3A"/>
    <w:rsid w:val="00030381"/>
    <w:rsid w:val="00032995"/>
    <w:rsid w:val="00035139"/>
    <w:rsid w:val="00037F2A"/>
    <w:rsid w:val="000452EC"/>
    <w:rsid w:val="0004623B"/>
    <w:rsid w:val="00046368"/>
    <w:rsid w:val="00047203"/>
    <w:rsid w:val="000602B5"/>
    <w:rsid w:val="00071883"/>
    <w:rsid w:val="00074440"/>
    <w:rsid w:val="00075454"/>
    <w:rsid w:val="0008528A"/>
    <w:rsid w:val="00092752"/>
    <w:rsid w:val="00092F84"/>
    <w:rsid w:val="000A32D4"/>
    <w:rsid w:val="000A391D"/>
    <w:rsid w:val="000B61D8"/>
    <w:rsid w:val="000B6ADD"/>
    <w:rsid w:val="000C62CC"/>
    <w:rsid w:val="000D2A6E"/>
    <w:rsid w:val="000D2C08"/>
    <w:rsid w:val="000D5BDD"/>
    <w:rsid w:val="000D68FA"/>
    <w:rsid w:val="000F2F2F"/>
    <w:rsid w:val="001039A5"/>
    <w:rsid w:val="00105F6E"/>
    <w:rsid w:val="00105FF7"/>
    <w:rsid w:val="00110B5D"/>
    <w:rsid w:val="00117B3D"/>
    <w:rsid w:val="00117F58"/>
    <w:rsid w:val="00126D29"/>
    <w:rsid w:val="001310A4"/>
    <w:rsid w:val="00140812"/>
    <w:rsid w:val="0015007A"/>
    <w:rsid w:val="00152E74"/>
    <w:rsid w:val="00160D70"/>
    <w:rsid w:val="00161B3C"/>
    <w:rsid w:val="001663A4"/>
    <w:rsid w:val="00167A54"/>
    <w:rsid w:val="00173468"/>
    <w:rsid w:val="00180BC8"/>
    <w:rsid w:val="00186E0E"/>
    <w:rsid w:val="00195DA7"/>
    <w:rsid w:val="00196C7D"/>
    <w:rsid w:val="00197C40"/>
    <w:rsid w:val="001B34F3"/>
    <w:rsid w:val="001B780A"/>
    <w:rsid w:val="001C1C3F"/>
    <w:rsid w:val="001D2E0B"/>
    <w:rsid w:val="001D3120"/>
    <w:rsid w:val="001D4B90"/>
    <w:rsid w:val="001E03D2"/>
    <w:rsid w:val="001E234E"/>
    <w:rsid w:val="001F1B8A"/>
    <w:rsid w:val="001F439A"/>
    <w:rsid w:val="001F4958"/>
    <w:rsid w:val="001F4F58"/>
    <w:rsid w:val="001F7D70"/>
    <w:rsid w:val="002022E9"/>
    <w:rsid w:val="0020545E"/>
    <w:rsid w:val="002154FE"/>
    <w:rsid w:val="00217E44"/>
    <w:rsid w:val="00242622"/>
    <w:rsid w:val="0025077E"/>
    <w:rsid w:val="00257325"/>
    <w:rsid w:val="0026069F"/>
    <w:rsid w:val="00294C3B"/>
    <w:rsid w:val="00295B57"/>
    <w:rsid w:val="002A7478"/>
    <w:rsid w:val="002B607C"/>
    <w:rsid w:val="002C06D3"/>
    <w:rsid w:val="002C42E3"/>
    <w:rsid w:val="002D3BF3"/>
    <w:rsid w:val="002D42EB"/>
    <w:rsid w:val="002D6BBA"/>
    <w:rsid w:val="002E0234"/>
    <w:rsid w:val="002F1F2C"/>
    <w:rsid w:val="00302D73"/>
    <w:rsid w:val="00312754"/>
    <w:rsid w:val="00331E55"/>
    <w:rsid w:val="00335BD5"/>
    <w:rsid w:val="00342486"/>
    <w:rsid w:val="00355777"/>
    <w:rsid w:val="00356D3F"/>
    <w:rsid w:val="00361E97"/>
    <w:rsid w:val="00371F96"/>
    <w:rsid w:val="00380300"/>
    <w:rsid w:val="00395AC4"/>
    <w:rsid w:val="003A134B"/>
    <w:rsid w:val="003A2D65"/>
    <w:rsid w:val="003A5CC4"/>
    <w:rsid w:val="003D2DFA"/>
    <w:rsid w:val="003F70C1"/>
    <w:rsid w:val="00414DE5"/>
    <w:rsid w:val="00420AFF"/>
    <w:rsid w:val="00421054"/>
    <w:rsid w:val="00433DA0"/>
    <w:rsid w:val="004346BA"/>
    <w:rsid w:val="00451440"/>
    <w:rsid w:val="00453532"/>
    <w:rsid w:val="00471732"/>
    <w:rsid w:val="004726A0"/>
    <w:rsid w:val="00473DBE"/>
    <w:rsid w:val="00480D8C"/>
    <w:rsid w:val="004909BD"/>
    <w:rsid w:val="004A34DF"/>
    <w:rsid w:val="004A4198"/>
    <w:rsid w:val="004B671B"/>
    <w:rsid w:val="004C211E"/>
    <w:rsid w:val="004C7B39"/>
    <w:rsid w:val="004D7101"/>
    <w:rsid w:val="004E6E53"/>
    <w:rsid w:val="00500E03"/>
    <w:rsid w:val="00511F20"/>
    <w:rsid w:val="00513D68"/>
    <w:rsid w:val="005200FD"/>
    <w:rsid w:val="00523DE1"/>
    <w:rsid w:val="005268E6"/>
    <w:rsid w:val="005311DB"/>
    <w:rsid w:val="005367D6"/>
    <w:rsid w:val="0054119F"/>
    <w:rsid w:val="00552206"/>
    <w:rsid w:val="005615A9"/>
    <w:rsid w:val="00561D83"/>
    <w:rsid w:val="00564036"/>
    <w:rsid w:val="00580BA7"/>
    <w:rsid w:val="005876BA"/>
    <w:rsid w:val="00590BE9"/>
    <w:rsid w:val="005913F5"/>
    <w:rsid w:val="005A5CCD"/>
    <w:rsid w:val="005B58F3"/>
    <w:rsid w:val="005C4781"/>
    <w:rsid w:val="005C7FEB"/>
    <w:rsid w:val="005D0DC7"/>
    <w:rsid w:val="005D1B6E"/>
    <w:rsid w:val="005D32F7"/>
    <w:rsid w:val="005E0B15"/>
    <w:rsid w:val="005E601C"/>
    <w:rsid w:val="005F1348"/>
    <w:rsid w:val="005F3F32"/>
    <w:rsid w:val="005F4009"/>
    <w:rsid w:val="005F547B"/>
    <w:rsid w:val="00602FD7"/>
    <w:rsid w:val="0060477D"/>
    <w:rsid w:val="00612AA3"/>
    <w:rsid w:val="00616DC4"/>
    <w:rsid w:val="00623569"/>
    <w:rsid w:val="00625BE4"/>
    <w:rsid w:val="0063349B"/>
    <w:rsid w:val="006523E6"/>
    <w:rsid w:val="006541C0"/>
    <w:rsid w:val="0065677B"/>
    <w:rsid w:val="006668F8"/>
    <w:rsid w:val="006725F6"/>
    <w:rsid w:val="0067743E"/>
    <w:rsid w:val="00684C0C"/>
    <w:rsid w:val="00693724"/>
    <w:rsid w:val="0069765D"/>
    <w:rsid w:val="006A7B07"/>
    <w:rsid w:val="006B0940"/>
    <w:rsid w:val="006B496B"/>
    <w:rsid w:val="006B5618"/>
    <w:rsid w:val="006B5FB8"/>
    <w:rsid w:val="006B7CCE"/>
    <w:rsid w:val="006C59D2"/>
    <w:rsid w:val="006C690C"/>
    <w:rsid w:val="00713808"/>
    <w:rsid w:val="00714D24"/>
    <w:rsid w:val="0072743F"/>
    <w:rsid w:val="007335E0"/>
    <w:rsid w:val="00735FB8"/>
    <w:rsid w:val="007375C0"/>
    <w:rsid w:val="0075592F"/>
    <w:rsid w:val="0075682C"/>
    <w:rsid w:val="00762F02"/>
    <w:rsid w:val="007679C9"/>
    <w:rsid w:val="00772284"/>
    <w:rsid w:val="00780B75"/>
    <w:rsid w:val="00781BA7"/>
    <w:rsid w:val="00785072"/>
    <w:rsid w:val="007929F1"/>
    <w:rsid w:val="007A10DF"/>
    <w:rsid w:val="007A1297"/>
    <w:rsid w:val="007A39C8"/>
    <w:rsid w:val="007A6501"/>
    <w:rsid w:val="007B0DEF"/>
    <w:rsid w:val="007B42F7"/>
    <w:rsid w:val="007B5F6A"/>
    <w:rsid w:val="007B7FE6"/>
    <w:rsid w:val="007C10BC"/>
    <w:rsid w:val="007C1641"/>
    <w:rsid w:val="007C406F"/>
    <w:rsid w:val="007D4B9E"/>
    <w:rsid w:val="007D6E64"/>
    <w:rsid w:val="007E3263"/>
    <w:rsid w:val="007E54B5"/>
    <w:rsid w:val="007E75CD"/>
    <w:rsid w:val="007E7BD0"/>
    <w:rsid w:val="00805313"/>
    <w:rsid w:val="00811F45"/>
    <w:rsid w:val="00811FDA"/>
    <w:rsid w:val="00825798"/>
    <w:rsid w:val="008375E7"/>
    <w:rsid w:val="008545F6"/>
    <w:rsid w:val="00864CA7"/>
    <w:rsid w:val="008809E6"/>
    <w:rsid w:val="00887112"/>
    <w:rsid w:val="00891C15"/>
    <w:rsid w:val="008A1365"/>
    <w:rsid w:val="008A2AC6"/>
    <w:rsid w:val="008A604C"/>
    <w:rsid w:val="008A6FAD"/>
    <w:rsid w:val="008B51DF"/>
    <w:rsid w:val="008C2059"/>
    <w:rsid w:val="008D14E8"/>
    <w:rsid w:val="008D17AF"/>
    <w:rsid w:val="008F3D8F"/>
    <w:rsid w:val="008F57A3"/>
    <w:rsid w:val="008F613A"/>
    <w:rsid w:val="008F6CA2"/>
    <w:rsid w:val="00917327"/>
    <w:rsid w:val="00922890"/>
    <w:rsid w:val="009265BA"/>
    <w:rsid w:val="00936DDB"/>
    <w:rsid w:val="009548D1"/>
    <w:rsid w:val="00957A58"/>
    <w:rsid w:val="00983560"/>
    <w:rsid w:val="009851FA"/>
    <w:rsid w:val="00987E25"/>
    <w:rsid w:val="009947F8"/>
    <w:rsid w:val="0099522A"/>
    <w:rsid w:val="009A5409"/>
    <w:rsid w:val="009A74A0"/>
    <w:rsid w:val="009C4219"/>
    <w:rsid w:val="009C6BEF"/>
    <w:rsid w:val="009D01C7"/>
    <w:rsid w:val="009D30F5"/>
    <w:rsid w:val="009D4234"/>
    <w:rsid w:val="009D5211"/>
    <w:rsid w:val="009E5B29"/>
    <w:rsid w:val="009E7568"/>
    <w:rsid w:val="009F080F"/>
    <w:rsid w:val="009F234D"/>
    <w:rsid w:val="009F3375"/>
    <w:rsid w:val="009F40EE"/>
    <w:rsid w:val="00A03302"/>
    <w:rsid w:val="00A061B1"/>
    <w:rsid w:val="00A06571"/>
    <w:rsid w:val="00A10967"/>
    <w:rsid w:val="00A41EAB"/>
    <w:rsid w:val="00A42809"/>
    <w:rsid w:val="00A44DDB"/>
    <w:rsid w:val="00A44E80"/>
    <w:rsid w:val="00A6254B"/>
    <w:rsid w:val="00A674EB"/>
    <w:rsid w:val="00A703AC"/>
    <w:rsid w:val="00A71256"/>
    <w:rsid w:val="00A744B5"/>
    <w:rsid w:val="00A77AA2"/>
    <w:rsid w:val="00AA1920"/>
    <w:rsid w:val="00AA5624"/>
    <w:rsid w:val="00AB3283"/>
    <w:rsid w:val="00AB6082"/>
    <w:rsid w:val="00AC234E"/>
    <w:rsid w:val="00AD22EC"/>
    <w:rsid w:val="00AD6E7C"/>
    <w:rsid w:val="00AE4F56"/>
    <w:rsid w:val="00AF2093"/>
    <w:rsid w:val="00AF5D9F"/>
    <w:rsid w:val="00AF783F"/>
    <w:rsid w:val="00B07945"/>
    <w:rsid w:val="00B41BAB"/>
    <w:rsid w:val="00B5737B"/>
    <w:rsid w:val="00B63AF9"/>
    <w:rsid w:val="00B711DF"/>
    <w:rsid w:val="00B721AF"/>
    <w:rsid w:val="00B73436"/>
    <w:rsid w:val="00B87E16"/>
    <w:rsid w:val="00B9402A"/>
    <w:rsid w:val="00B94435"/>
    <w:rsid w:val="00BA0712"/>
    <w:rsid w:val="00BA26E5"/>
    <w:rsid w:val="00BA6F31"/>
    <w:rsid w:val="00BA75DD"/>
    <w:rsid w:val="00BB0793"/>
    <w:rsid w:val="00BB7905"/>
    <w:rsid w:val="00BC02E2"/>
    <w:rsid w:val="00BE014C"/>
    <w:rsid w:val="00BE3E4C"/>
    <w:rsid w:val="00BF565E"/>
    <w:rsid w:val="00C00FB1"/>
    <w:rsid w:val="00C20FFD"/>
    <w:rsid w:val="00C35346"/>
    <w:rsid w:val="00C37B45"/>
    <w:rsid w:val="00C44ECA"/>
    <w:rsid w:val="00C74D70"/>
    <w:rsid w:val="00C81A6B"/>
    <w:rsid w:val="00C81C80"/>
    <w:rsid w:val="00C8642A"/>
    <w:rsid w:val="00C914E2"/>
    <w:rsid w:val="00C94AEA"/>
    <w:rsid w:val="00CA27F2"/>
    <w:rsid w:val="00CA7B4B"/>
    <w:rsid w:val="00CC465D"/>
    <w:rsid w:val="00CC7B7E"/>
    <w:rsid w:val="00CD0FD4"/>
    <w:rsid w:val="00CD6710"/>
    <w:rsid w:val="00CD7630"/>
    <w:rsid w:val="00CD7ACC"/>
    <w:rsid w:val="00CE459D"/>
    <w:rsid w:val="00CE7951"/>
    <w:rsid w:val="00CE7DAF"/>
    <w:rsid w:val="00D1238C"/>
    <w:rsid w:val="00D15C6B"/>
    <w:rsid w:val="00D17DC5"/>
    <w:rsid w:val="00D21664"/>
    <w:rsid w:val="00D22A99"/>
    <w:rsid w:val="00D24A0A"/>
    <w:rsid w:val="00D3611A"/>
    <w:rsid w:val="00D41203"/>
    <w:rsid w:val="00D534B5"/>
    <w:rsid w:val="00D65B01"/>
    <w:rsid w:val="00D66AE7"/>
    <w:rsid w:val="00D7791C"/>
    <w:rsid w:val="00D92B61"/>
    <w:rsid w:val="00DA2918"/>
    <w:rsid w:val="00DA57BC"/>
    <w:rsid w:val="00DB13FE"/>
    <w:rsid w:val="00DB45A6"/>
    <w:rsid w:val="00DC2BC0"/>
    <w:rsid w:val="00DC4507"/>
    <w:rsid w:val="00DD28DB"/>
    <w:rsid w:val="00DE1C98"/>
    <w:rsid w:val="00DE362F"/>
    <w:rsid w:val="00DF10C0"/>
    <w:rsid w:val="00E0133E"/>
    <w:rsid w:val="00E01397"/>
    <w:rsid w:val="00E07A11"/>
    <w:rsid w:val="00E129B5"/>
    <w:rsid w:val="00E16142"/>
    <w:rsid w:val="00E231FF"/>
    <w:rsid w:val="00E32368"/>
    <w:rsid w:val="00E40558"/>
    <w:rsid w:val="00E47116"/>
    <w:rsid w:val="00E67B1B"/>
    <w:rsid w:val="00E86080"/>
    <w:rsid w:val="00E91F60"/>
    <w:rsid w:val="00EA3496"/>
    <w:rsid w:val="00EB4408"/>
    <w:rsid w:val="00EB47A7"/>
    <w:rsid w:val="00EB4DC4"/>
    <w:rsid w:val="00EB5341"/>
    <w:rsid w:val="00EC7631"/>
    <w:rsid w:val="00EF0C82"/>
    <w:rsid w:val="00EF16F3"/>
    <w:rsid w:val="00EF55A8"/>
    <w:rsid w:val="00EF61D1"/>
    <w:rsid w:val="00F01B9D"/>
    <w:rsid w:val="00F01DF3"/>
    <w:rsid w:val="00F05EEA"/>
    <w:rsid w:val="00F13039"/>
    <w:rsid w:val="00F14F84"/>
    <w:rsid w:val="00F35BC7"/>
    <w:rsid w:val="00F35DBB"/>
    <w:rsid w:val="00F45DC8"/>
    <w:rsid w:val="00F5146A"/>
    <w:rsid w:val="00F73CBF"/>
    <w:rsid w:val="00F765FC"/>
    <w:rsid w:val="00F8664A"/>
    <w:rsid w:val="00F92E32"/>
    <w:rsid w:val="00FA5E21"/>
    <w:rsid w:val="00FC0208"/>
    <w:rsid w:val="00FC30F9"/>
    <w:rsid w:val="00FD5BD3"/>
    <w:rsid w:val="00FD7CB0"/>
    <w:rsid w:val="00FE1606"/>
    <w:rsid w:val="00FE243A"/>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32D6"/>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CommentReference">
    <w:name w:val="annotation reference"/>
    <w:basedOn w:val="DefaultParagraphFont"/>
    <w:uiPriority w:val="99"/>
    <w:semiHidden/>
    <w:unhideWhenUsed/>
    <w:rsid w:val="00217E44"/>
    <w:rPr>
      <w:sz w:val="16"/>
      <w:szCs w:val="16"/>
    </w:rPr>
  </w:style>
  <w:style w:type="paragraph" w:styleId="CommentText">
    <w:name w:val="annotation text"/>
    <w:basedOn w:val="Normal"/>
    <w:link w:val="CommentTextChar"/>
    <w:uiPriority w:val="99"/>
    <w:semiHidden/>
    <w:unhideWhenUsed/>
    <w:rsid w:val="00217E44"/>
    <w:rPr>
      <w:sz w:val="20"/>
    </w:rPr>
  </w:style>
  <w:style w:type="character" w:customStyle="1" w:styleId="CommentTextChar">
    <w:name w:val="Comment Text Char"/>
    <w:basedOn w:val="DefaultParagraphFont"/>
    <w:link w:val="CommentText"/>
    <w:uiPriority w:val="99"/>
    <w:semiHidden/>
    <w:rsid w:val="00217E44"/>
    <w:rPr>
      <w:sz w:val="20"/>
      <w:lang w:bidi="en-US"/>
    </w:rPr>
  </w:style>
  <w:style w:type="paragraph" w:styleId="CommentSubject">
    <w:name w:val="annotation subject"/>
    <w:basedOn w:val="CommentText"/>
    <w:next w:val="CommentText"/>
    <w:link w:val="CommentSubjectChar"/>
    <w:uiPriority w:val="99"/>
    <w:semiHidden/>
    <w:unhideWhenUsed/>
    <w:rsid w:val="00217E44"/>
    <w:rPr>
      <w:b/>
      <w:bCs/>
    </w:rPr>
  </w:style>
  <w:style w:type="character" w:customStyle="1" w:styleId="CommentSubjectChar">
    <w:name w:val="Comment Subject Char"/>
    <w:basedOn w:val="CommentTextChar"/>
    <w:link w:val="CommentSubject"/>
    <w:uiPriority w:val="99"/>
    <w:semiHidden/>
    <w:rsid w:val="00217E44"/>
    <w:rPr>
      <w:b/>
      <w:bCs/>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608051077">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 w:id="1702823051">
      <w:bodyDiv w:val="1"/>
      <w:marLeft w:val="0"/>
      <w:marRight w:val="0"/>
      <w:marTop w:val="0"/>
      <w:marBottom w:val="0"/>
      <w:divBdr>
        <w:top w:val="none" w:sz="0" w:space="0" w:color="auto"/>
        <w:left w:val="none" w:sz="0" w:space="0" w:color="auto"/>
        <w:bottom w:val="none" w:sz="0" w:space="0" w:color="auto"/>
        <w:right w:val="none" w:sz="0" w:space="0" w:color="auto"/>
      </w:divBdr>
    </w:div>
    <w:div w:id="1705671579">
      <w:bodyDiv w:val="1"/>
      <w:marLeft w:val="0"/>
      <w:marRight w:val="0"/>
      <w:marTop w:val="0"/>
      <w:marBottom w:val="0"/>
      <w:divBdr>
        <w:top w:val="none" w:sz="0" w:space="0" w:color="auto"/>
        <w:left w:val="none" w:sz="0" w:space="0" w:color="auto"/>
        <w:bottom w:val="none" w:sz="0" w:space="0" w:color="auto"/>
        <w:right w:val="none" w:sz="0" w:space="0" w:color="auto"/>
      </w:divBdr>
    </w:div>
    <w:div w:id="21469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W2DYDCZSR3KP-599401305-18628</_dlc_DocId>
    <_dlc_DocIdUrl xmlns="d9320a93-a9f0-4135-97e0-380ac3311a04">
      <Url>https://sitesreservoirproject.sharepoint.com/EnvPlanning/_layouts/15/DocIdRedir.aspx?ID=W2DYDCZSR3KP-599401305-18628</Url>
      <Description>W2DYDCZSR3KP-599401305-18628</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10B7A-E718-4451-9BBA-4DD7C5324237}"/>
</file>

<file path=customXml/itemProps3.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4.xml><?xml version="1.0" encoding="utf-8"?>
<ds:datastoreItem xmlns:ds="http://schemas.openxmlformats.org/officeDocument/2006/customXml" ds:itemID="{DD785C67-0140-4CD4-B470-BBC2128C3935}">
  <ds:schemaRefs>
    <ds:schemaRef ds:uri="http://schemas.openxmlformats.org/officeDocument/2006/bibliography"/>
  </ds:schemaRefs>
</ds:datastoreItem>
</file>

<file path=customXml/itemProps5.xml><?xml version="1.0" encoding="utf-8"?>
<ds:datastoreItem xmlns:ds="http://schemas.openxmlformats.org/officeDocument/2006/customXml" ds:itemID="{CE8EB041-BA91-4687-B21B-49BBD01F3781}"/>
</file>

<file path=docProps/app.xml><?xml version="1.0" encoding="utf-8"?>
<Properties xmlns="http://schemas.openxmlformats.org/officeDocument/2006/extended-properties" xmlns:vt="http://schemas.openxmlformats.org/officeDocument/2006/docPropsVTypes">
  <Template>20180124 Meeting Agenda - Template (1).dotx</Template>
  <TotalTime>13</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Arsenijevic, Jelica</cp:lastModifiedBy>
  <cp:revision>6</cp:revision>
  <cp:lastPrinted>2014-09-26T19:48:00Z</cp:lastPrinted>
  <dcterms:created xsi:type="dcterms:W3CDTF">2019-08-09T23:15:00Z</dcterms:created>
  <dcterms:modified xsi:type="dcterms:W3CDTF">2019-08-13T15:30:00Z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0c60d511-364e-4a5f-8900-63794143b9dd</vt:lpwstr>
  </property>
  <property fmtid="{D5CDD505-2E9C-101B-9397-08002B2CF9AE}" pid="8" name="MSIP_Label_6e685f86-ed8d-482b-be3a-2b7af73f9b7f_Enabled">
    <vt:lpwstr>True</vt:lpwstr>
  </property>
  <property fmtid="{D5CDD505-2E9C-101B-9397-08002B2CF9AE}" pid="9" name="MSIP_Label_6e685f86-ed8d-482b-be3a-2b7af73f9b7f_SiteId">
    <vt:lpwstr>4b633c25-efbf-4006-9f15-07442ba7aa0b</vt:lpwstr>
  </property>
  <property fmtid="{D5CDD505-2E9C-101B-9397-08002B2CF9AE}" pid="10" name="MSIP_Label_6e685f86-ed8d-482b-be3a-2b7af73f9b7f_Owner">
    <vt:lpwstr>Ian.Boyd@Wildlife.ca.gov</vt:lpwstr>
  </property>
  <property fmtid="{D5CDD505-2E9C-101B-9397-08002B2CF9AE}" pid="11" name="MSIP_Label_6e685f86-ed8d-482b-be3a-2b7af73f9b7f_SetDate">
    <vt:lpwstr>2019-08-09T23:04:40.6833617Z</vt:lpwstr>
  </property>
  <property fmtid="{D5CDD505-2E9C-101B-9397-08002B2CF9AE}" pid="12" name="MSIP_Label_6e685f86-ed8d-482b-be3a-2b7af73f9b7f_Name">
    <vt:lpwstr>General</vt:lpwstr>
  </property>
  <property fmtid="{D5CDD505-2E9C-101B-9397-08002B2CF9AE}" pid="13" name="MSIP_Label_6e685f86-ed8d-482b-be3a-2b7af73f9b7f_Application">
    <vt:lpwstr>Microsoft Azure Information Protection</vt:lpwstr>
  </property>
  <property fmtid="{D5CDD505-2E9C-101B-9397-08002B2CF9AE}" pid="14" name="MSIP_Label_6e685f86-ed8d-482b-be3a-2b7af73f9b7f_ActionId">
    <vt:lpwstr>9a2df813-d38a-4db5-a16b-2df67167b3d0</vt:lpwstr>
  </property>
  <property fmtid="{D5CDD505-2E9C-101B-9397-08002B2CF9AE}" pid="15" name="MSIP_Label_6e685f86-ed8d-482b-be3a-2b7af73f9b7f_Extended_MSFT_Method">
    <vt:lpwstr>Automatic</vt:lpwstr>
  </property>
  <property fmtid="{D5CDD505-2E9C-101B-9397-08002B2CF9AE}" pid="16" name="Sensitivity">
    <vt:lpwstr>General</vt:lpwstr>
  </property>
</Properties>
</file>