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A" w:rsidRPr="00EF55A8" w:rsidRDefault="00122FC0" w:rsidP="001F1B8A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2020 Strategy Session</w:t>
      </w:r>
      <w:r w:rsidR="00823681">
        <w:rPr>
          <w:sz w:val="40"/>
          <w:szCs w:val="40"/>
        </w:rPr>
        <w:t xml:space="preserve"> #2</w:t>
      </w:r>
    </w:p>
    <w:p w:rsidR="00152E74" w:rsidRDefault="0030770F" w:rsidP="00117B3D">
      <w:pPr>
        <w:pStyle w:val="Maintitle"/>
        <w:spacing w:after="40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152E74" w:rsidRPr="00EF55A8">
        <w:rPr>
          <w:sz w:val="40"/>
          <w:szCs w:val="40"/>
        </w:rPr>
        <w:t>Agenda</w:t>
      </w:r>
    </w:p>
    <w:p w:rsidR="003A2D65" w:rsidRDefault="003A2D65" w:rsidP="00117B3D">
      <w:pPr>
        <w:pStyle w:val="Maintitle"/>
        <w:spacing w:after="40"/>
        <w:rPr>
          <w:sz w:val="40"/>
          <w:szCs w:val="40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122FC0" w:rsidRDefault="00875DA6" w:rsidP="00525C1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May 20</w:t>
            </w:r>
            <w:r w:rsidR="00122FC0" w:rsidRPr="00122FC0">
              <w:rPr>
                <w:szCs w:val="22"/>
              </w:rPr>
              <w:t>,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WebEx</w:t>
            </w:r>
          </w:p>
          <w:p w:rsidR="00122FC0" w:rsidRPr="00122FC0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Call in :</w:t>
            </w:r>
            <w:r>
              <w:t xml:space="preserve"> </w:t>
            </w:r>
            <w:r w:rsidRPr="00122FC0">
              <w:rPr>
                <w:szCs w:val="22"/>
              </w:rPr>
              <w:t>408-418-9388</w:t>
            </w:r>
            <w:r>
              <w:rPr>
                <w:szCs w:val="22"/>
              </w:rPr>
              <w:t>, access code</w:t>
            </w:r>
            <w:r w:rsidRPr="00122FC0">
              <w:rPr>
                <w:szCs w:val="22"/>
              </w:rPr>
              <w:t>: 961 415 679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122FC0" w:rsidP="00122FC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2:30 pm – 4:00 p</w:t>
            </w:r>
            <w:r w:rsidR="0030770F">
              <w:rPr>
                <w:szCs w:val="22"/>
              </w:rPr>
              <w:t>m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122FC0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25C1C">
              <w:rPr>
                <w:szCs w:val="22"/>
              </w:rPr>
              <w:t xml:space="preserve">Discuss and develop </w:t>
            </w:r>
            <w:r w:rsidR="00122FC0">
              <w:rPr>
                <w:szCs w:val="22"/>
              </w:rPr>
              <w:t xml:space="preserve">2020 CDFW </w:t>
            </w:r>
            <w:r w:rsidR="00875DA6">
              <w:rPr>
                <w:szCs w:val="22"/>
              </w:rPr>
              <w:t xml:space="preserve">ITP </w:t>
            </w:r>
            <w:r w:rsidR="00122FC0">
              <w:rPr>
                <w:szCs w:val="22"/>
              </w:rPr>
              <w:t>approach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F81074">
        <w:trPr>
          <w:trHeight w:val="101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Default="00525C1C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Ali Forsythe,</w:t>
            </w:r>
            <w:r w:rsidR="004B671B" w:rsidRPr="008742C1">
              <w:rPr>
                <w:rStyle w:val="Style2"/>
                <w:szCs w:val="22"/>
              </w:rPr>
              <w:t xml:space="preserve"> Sites </w:t>
            </w:r>
            <w:r w:rsidR="004B671B">
              <w:rPr>
                <w:rStyle w:val="Style2"/>
                <w:szCs w:val="22"/>
              </w:rPr>
              <w:t>Authority</w:t>
            </w:r>
            <w:r w:rsidR="004B671B"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A87ACA" w:rsidP="00A87AC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</w:t>
            </w:r>
            <w:r>
              <w:rPr>
                <w:color w:val="000000" w:themeColor="text1"/>
                <w:sz w:val="22"/>
                <w:szCs w:val="22"/>
              </w:rPr>
              <w:t>R</w:t>
            </w:r>
          </w:p>
          <w:p w:rsidR="00122FC0" w:rsidRPr="00C8642A" w:rsidRDefault="00122FC0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Erin Heydinger, HDR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26A0" w:rsidRDefault="00A87ACA" w:rsidP="00C8642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Rob Tull, Jacobs</w:t>
            </w:r>
          </w:p>
          <w:p w:rsidR="00525C1C" w:rsidRPr="00C8642A" w:rsidRDefault="00A87ACA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Chris Fitzer, ESA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5C1C" w:rsidRPr="008742C1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525C1C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C8642A" w:rsidRPr="008742C1" w:rsidRDefault="00C8642A" w:rsidP="00525C1C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811B79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2486" w:rsidRDefault="00864CA7" w:rsidP="00D439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D439F5">
              <w:rPr>
                <w:rStyle w:val="Style2"/>
              </w:rPr>
              <w:t xml:space="preserve">Review of Action Items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Pr="00CA7B4B" w:rsidRDefault="0030770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11B79" w:rsidP="007A39C8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Update on Recent CDFW Meetings </w:t>
            </w:r>
          </w:p>
          <w:p w:rsidR="009D30F5" w:rsidRDefault="00811B79" w:rsidP="00FE6EB3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Meeting context and goals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823681" w:rsidP="00823681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</w:t>
            </w:r>
            <w:r w:rsidR="00811B79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spacing w:before="60" w:after="60"/>
            </w:pPr>
            <w:r>
              <w:t>10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3681" w:rsidRDefault="00823681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Review/Discuss Strategy Table</w:t>
            </w:r>
          </w:p>
          <w:p w:rsidR="009D30F5" w:rsidRDefault="009D30F5" w:rsidP="00823681">
            <w:pPr>
              <w:pStyle w:val="mainbodytext"/>
              <w:spacing w:before="60" w:after="60"/>
              <w:ind w:left="720"/>
              <w:rPr>
                <w:rStyle w:val="Style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9D30F5">
            <w:pPr>
              <w:pStyle w:val="mainbodytext"/>
              <w:spacing w:before="60" w:after="60"/>
            </w:pPr>
            <w:r>
              <w:t>30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Discuss Strategy/</w:t>
            </w:r>
            <w:r w:rsidR="009D30F5">
              <w:rPr>
                <w:rStyle w:val="Style2"/>
              </w:rPr>
              <w:t>Next steps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775F9C">
            <w:pPr>
              <w:pStyle w:val="mainbodytext"/>
              <w:spacing w:before="60" w:after="60"/>
            </w:pPr>
            <w:r>
              <w:t>30</w:t>
            </w:r>
            <w:r w:rsidR="00775F9C">
              <w:t xml:space="preserve"> min </w:t>
            </w:r>
          </w:p>
        </w:tc>
      </w:tr>
      <w:tr w:rsidR="00037848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Review New Action Items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775F9C">
            <w:pPr>
              <w:pStyle w:val="mainbodytext"/>
              <w:spacing w:before="60" w:after="60"/>
            </w:pPr>
            <w:r>
              <w:t>5 min</w:t>
            </w:r>
          </w:p>
        </w:tc>
      </w:tr>
    </w:tbl>
    <w:p w:rsidR="00B41BAB" w:rsidRDefault="00B41BAB" w:rsidP="009D30F5">
      <w:pPr>
        <w:rPr>
          <w:b/>
        </w:rPr>
      </w:pPr>
    </w:p>
    <w:tbl>
      <w:tblPr>
        <w:tblStyle w:val="TableGrid"/>
        <w:tblpPr w:leftFromText="180" w:rightFromText="180" w:vertAnchor="text" w:horzAnchor="margin" w:tblpX="85" w:tblpY="148"/>
        <w:tblW w:w="10705" w:type="dxa"/>
        <w:tblLayout w:type="fixed"/>
        <w:tblLook w:val="04A0" w:firstRow="1" w:lastRow="0" w:firstColumn="1" w:lastColumn="0" w:noHBand="0" w:noVBand="1"/>
      </w:tblPr>
      <w:tblGrid>
        <w:gridCol w:w="497"/>
        <w:gridCol w:w="3316"/>
        <w:gridCol w:w="1713"/>
        <w:gridCol w:w="1863"/>
        <w:gridCol w:w="3316"/>
      </w:tblGrid>
      <w:tr w:rsidR="008A0525" w:rsidRPr="00843931" w:rsidTr="00C2794B">
        <w:trPr>
          <w:tblHeader/>
        </w:trPr>
        <w:tc>
          <w:tcPr>
            <w:tcW w:w="1781" w:type="pct"/>
            <w:gridSpan w:val="2"/>
            <w:shd w:val="clear" w:color="auto" w:fill="D9D9D9" w:themeFill="background1" w:themeFillShade="D9"/>
          </w:tcPr>
          <w:p w:rsidR="008A0525" w:rsidRPr="00365E95" w:rsidRDefault="008A0525" w:rsidP="00C2794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Action Item</w:t>
            </w:r>
            <w:r>
              <w:rPr>
                <w:b/>
              </w:rPr>
              <w:t xml:space="preserve"> 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8A0525" w:rsidRPr="00365E95" w:rsidRDefault="008A0525" w:rsidP="00C2794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Owner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8A0525" w:rsidRPr="00365E95" w:rsidRDefault="008A0525" w:rsidP="00C2794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Deadline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:rsidR="008A0525" w:rsidRPr="00365E95" w:rsidRDefault="008A0525" w:rsidP="00C2794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Notes</w:t>
            </w:r>
          </w:p>
        </w:tc>
      </w:tr>
      <w:tr w:rsidR="001618D6" w:rsidRPr="00C60EF8" w:rsidTr="00C2794B">
        <w:tc>
          <w:tcPr>
            <w:tcW w:w="232" w:type="pct"/>
          </w:tcPr>
          <w:p w:rsidR="001618D6" w:rsidRPr="00C60EF8" w:rsidRDefault="001618D6" w:rsidP="001618D6">
            <w:pPr>
              <w:pStyle w:val="namerole"/>
            </w:pPr>
            <w:r>
              <w:t>1</w:t>
            </w:r>
          </w:p>
        </w:tc>
        <w:tc>
          <w:tcPr>
            <w:tcW w:w="1549" w:type="pct"/>
          </w:tcPr>
          <w:p w:rsidR="001618D6" w:rsidRPr="008D3767" w:rsidRDefault="001618D6" w:rsidP="001618D6">
            <w:pPr>
              <w:pStyle w:val="namerole"/>
            </w:pPr>
            <w:r w:rsidRPr="001618D6">
              <w:t xml:space="preserve">Ali to discuss </w:t>
            </w:r>
            <w:r>
              <w:t xml:space="preserve">deal vs. analysis approach </w:t>
            </w:r>
            <w:r w:rsidRPr="001618D6">
              <w:t>with Jerry and get direction</w:t>
            </w:r>
          </w:p>
        </w:tc>
        <w:tc>
          <w:tcPr>
            <w:tcW w:w="800" w:type="pct"/>
          </w:tcPr>
          <w:p w:rsidR="001618D6" w:rsidRPr="008D3767" w:rsidRDefault="001618D6" w:rsidP="001618D6">
            <w:pPr>
              <w:pStyle w:val="namerole"/>
              <w:tabs>
                <w:tab w:val="left" w:pos="855"/>
              </w:tabs>
            </w:pPr>
            <w:r>
              <w:t>Ali</w:t>
            </w:r>
          </w:p>
        </w:tc>
        <w:tc>
          <w:tcPr>
            <w:tcW w:w="870" w:type="pct"/>
          </w:tcPr>
          <w:p w:rsidR="001618D6" w:rsidRPr="008D3767" w:rsidRDefault="001618D6" w:rsidP="001618D6">
            <w:pPr>
              <w:pStyle w:val="namerole"/>
            </w:pPr>
            <w:r>
              <w:t>6/5/20</w:t>
            </w:r>
          </w:p>
        </w:tc>
        <w:tc>
          <w:tcPr>
            <w:tcW w:w="1549" w:type="pct"/>
          </w:tcPr>
          <w:p w:rsidR="001618D6" w:rsidRPr="006C4968" w:rsidRDefault="001618D6" w:rsidP="001618D6">
            <w:pPr>
              <w:pStyle w:val="namerole"/>
            </w:pPr>
          </w:p>
        </w:tc>
      </w:tr>
      <w:tr w:rsidR="001618D6" w:rsidRPr="00673A6D" w:rsidTr="00C2794B">
        <w:tc>
          <w:tcPr>
            <w:tcW w:w="232" w:type="pct"/>
          </w:tcPr>
          <w:p w:rsidR="001618D6" w:rsidRDefault="001618D6" w:rsidP="001618D6">
            <w:pPr>
              <w:pStyle w:val="namerole"/>
            </w:pPr>
            <w:r>
              <w:t>2</w:t>
            </w:r>
          </w:p>
        </w:tc>
        <w:tc>
          <w:tcPr>
            <w:tcW w:w="1549" w:type="pct"/>
          </w:tcPr>
          <w:p w:rsidR="001618D6" w:rsidRPr="008D3767" w:rsidRDefault="001618D6" w:rsidP="001618D6">
            <w:pPr>
              <w:pStyle w:val="namerole"/>
            </w:pPr>
            <w:r>
              <w:t>Discuss potential creation of a Sites BON for staff to use in negotiations</w:t>
            </w:r>
          </w:p>
        </w:tc>
        <w:tc>
          <w:tcPr>
            <w:tcW w:w="800" w:type="pct"/>
          </w:tcPr>
          <w:p w:rsidR="001618D6" w:rsidRPr="008D3767" w:rsidRDefault="001618D6" w:rsidP="001618D6">
            <w:pPr>
              <w:pStyle w:val="namerole"/>
              <w:tabs>
                <w:tab w:val="left" w:pos="855"/>
              </w:tabs>
            </w:pPr>
            <w:r>
              <w:t>Ali</w:t>
            </w:r>
          </w:p>
        </w:tc>
        <w:tc>
          <w:tcPr>
            <w:tcW w:w="870" w:type="pct"/>
          </w:tcPr>
          <w:p w:rsidR="001618D6" w:rsidRPr="008D3767" w:rsidRDefault="001618D6" w:rsidP="001618D6">
            <w:pPr>
              <w:pStyle w:val="namerole"/>
            </w:pPr>
            <w:r>
              <w:t>6/10/20</w:t>
            </w:r>
          </w:p>
        </w:tc>
        <w:tc>
          <w:tcPr>
            <w:tcW w:w="1549" w:type="pct"/>
          </w:tcPr>
          <w:p w:rsidR="001618D6" w:rsidRPr="008D3767" w:rsidRDefault="001618D6" w:rsidP="001618D6">
            <w:pPr>
              <w:pStyle w:val="namerole"/>
            </w:pPr>
          </w:p>
        </w:tc>
      </w:tr>
      <w:tr w:rsidR="00D17355" w:rsidRPr="00673A6D" w:rsidTr="00C2794B">
        <w:tc>
          <w:tcPr>
            <w:tcW w:w="232" w:type="pct"/>
          </w:tcPr>
          <w:p w:rsidR="00D17355" w:rsidRDefault="00D17355" w:rsidP="00D17355">
            <w:pPr>
              <w:pStyle w:val="namerole"/>
            </w:pPr>
            <w:r>
              <w:t>3</w:t>
            </w:r>
          </w:p>
        </w:tc>
        <w:tc>
          <w:tcPr>
            <w:tcW w:w="1549" w:type="pct"/>
          </w:tcPr>
          <w:p w:rsidR="00D17355" w:rsidRDefault="00D17355" w:rsidP="00D17355">
            <w:pPr>
              <w:pStyle w:val="namerole"/>
            </w:pPr>
            <w:r>
              <w:t xml:space="preserve">Refine tax table for </w:t>
            </w:r>
            <w:r w:rsidRPr="001618D6">
              <w:t>backward iteration of fishery effects and then determine the yield and engineering inputs needed to incorporate into the BON</w:t>
            </w:r>
          </w:p>
        </w:tc>
        <w:tc>
          <w:tcPr>
            <w:tcW w:w="800" w:type="pct"/>
          </w:tcPr>
          <w:p w:rsidR="00D17355" w:rsidRDefault="002E593F" w:rsidP="002E593F">
            <w:pPr>
              <w:pStyle w:val="namerole"/>
              <w:tabs>
                <w:tab w:val="left" w:pos="855"/>
              </w:tabs>
            </w:pPr>
            <w:r>
              <w:t>Tull/Lecky</w:t>
            </w:r>
          </w:p>
        </w:tc>
        <w:tc>
          <w:tcPr>
            <w:tcW w:w="870" w:type="pct"/>
          </w:tcPr>
          <w:p w:rsidR="00D17355" w:rsidRDefault="00D17355" w:rsidP="00D17355">
            <w:pPr>
              <w:pStyle w:val="namerole"/>
            </w:pPr>
            <w:r>
              <w:t>TBD</w:t>
            </w:r>
          </w:p>
        </w:tc>
        <w:tc>
          <w:tcPr>
            <w:tcW w:w="1549" w:type="pct"/>
          </w:tcPr>
          <w:p w:rsidR="00D17355" w:rsidRPr="006C4968" w:rsidRDefault="00D17355" w:rsidP="00D17355">
            <w:pPr>
              <w:pStyle w:val="namerole"/>
            </w:pPr>
            <w:r>
              <w:t>This is likely several Action Items and needs to be discussed</w:t>
            </w:r>
          </w:p>
        </w:tc>
      </w:tr>
      <w:tr w:rsidR="001618D6" w:rsidRPr="00673A6D" w:rsidTr="00C2794B">
        <w:tc>
          <w:tcPr>
            <w:tcW w:w="232" w:type="pct"/>
          </w:tcPr>
          <w:p w:rsidR="001618D6" w:rsidRDefault="001618D6" w:rsidP="001618D6">
            <w:pPr>
              <w:pStyle w:val="namerole"/>
            </w:pPr>
            <w:r>
              <w:t>4</w:t>
            </w:r>
          </w:p>
        </w:tc>
        <w:tc>
          <w:tcPr>
            <w:tcW w:w="1549" w:type="pct"/>
          </w:tcPr>
          <w:p w:rsidR="001618D6" w:rsidRDefault="00D17355" w:rsidP="001618D6">
            <w:pPr>
              <w:pStyle w:val="namerole"/>
            </w:pPr>
            <w:r>
              <w:t xml:space="preserve">Review/revise upstream diversion criteria for DS benefit protections </w:t>
            </w:r>
            <w:r>
              <w:lastRenderedPageBreak/>
              <w:t>and NDOI</w:t>
            </w:r>
            <w:r w:rsidR="00B8470A">
              <w:t>, Freeport and OMR requirements from ITP</w:t>
            </w:r>
          </w:p>
        </w:tc>
        <w:tc>
          <w:tcPr>
            <w:tcW w:w="800" w:type="pct"/>
          </w:tcPr>
          <w:p w:rsidR="001618D6" w:rsidRDefault="00B8470A" w:rsidP="00B8470A">
            <w:pPr>
              <w:pStyle w:val="namerole"/>
              <w:tabs>
                <w:tab w:val="left" w:pos="855"/>
              </w:tabs>
            </w:pPr>
            <w:r>
              <w:lastRenderedPageBreak/>
              <w:t>Lecky</w:t>
            </w:r>
          </w:p>
        </w:tc>
        <w:tc>
          <w:tcPr>
            <w:tcW w:w="870" w:type="pct"/>
          </w:tcPr>
          <w:p w:rsidR="001618D6" w:rsidRDefault="00B8470A" w:rsidP="001618D6">
            <w:pPr>
              <w:pStyle w:val="namerole"/>
            </w:pPr>
            <w:r>
              <w:t>After AI 1 is complete</w:t>
            </w:r>
          </w:p>
        </w:tc>
        <w:tc>
          <w:tcPr>
            <w:tcW w:w="1549" w:type="pct"/>
          </w:tcPr>
          <w:p w:rsidR="001618D6" w:rsidRPr="006C4968" w:rsidRDefault="001618D6" w:rsidP="001618D6">
            <w:pPr>
              <w:pStyle w:val="namerole"/>
            </w:pPr>
          </w:p>
        </w:tc>
      </w:tr>
    </w:tbl>
    <w:p w:rsidR="008A0525" w:rsidRPr="008A0525" w:rsidRDefault="008A0525" w:rsidP="009D30F5"/>
    <w:p w:rsidR="008A0525" w:rsidRPr="008A0525" w:rsidRDefault="008A0525" w:rsidP="009D30F5"/>
    <w:p w:rsidR="00DF5CEB" w:rsidRPr="00DF5CEB" w:rsidRDefault="00DF5CEB" w:rsidP="009D30F5">
      <w:pPr>
        <w:rPr>
          <w:b/>
        </w:rPr>
      </w:pPr>
      <w:r w:rsidRPr="00DF5CEB">
        <w:rPr>
          <w:b/>
        </w:rPr>
        <w:t>Notes</w:t>
      </w:r>
    </w:p>
    <w:p w:rsidR="00DF5CEB" w:rsidRDefault="00DF5CEB" w:rsidP="009D30F5"/>
    <w:p w:rsidR="00DF5CEB" w:rsidRDefault="00DF5CEB" w:rsidP="008636A9">
      <w:pPr>
        <w:pStyle w:val="ListParagraph"/>
        <w:numPr>
          <w:ilvl w:val="0"/>
          <w:numId w:val="10"/>
        </w:numPr>
      </w:pPr>
      <w:r>
        <w:t xml:space="preserve">No real diversion criteria at Ham </w:t>
      </w:r>
      <w:r w:rsidR="002E593F">
        <w:t>C</w:t>
      </w:r>
      <w:r>
        <w:t>ity and Red Bluff</w:t>
      </w:r>
    </w:p>
    <w:p w:rsidR="00DF5CEB" w:rsidRDefault="00DF5CEB" w:rsidP="00D5557D">
      <w:pPr>
        <w:pStyle w:val="ListParagraph"/>
        <w:numPr>
          <w:ilvl w:val="0"/>
          <w:numId w:val="10"/>
        </w:numPr>
      </w:pPr>
      <w:r>
        <w:t xml:space="preserve">Need to identify what a </w:t>
      </w:r>
      <w:r w:rsidR="001618D6">
        <w:t>reasonably</w:t>
      </w:r>
      <w:r>
        <w:t xml:space="preserve"> </w:t>
      </w:r>
      <w:r w:rsidR="001618D6">
        <w:t>foreseeable</w:t>
      </w:r>
      <w:r>
        <w:t xml:space="preserve"> project is: </w:t>
      </w:r>
    </w:p>
    <w:p w:rsidR="00DF5CEB" w:rsidRDefault="00DF5CEB" w:rsidP="00D5557D">
      <w:pPr>
        <w:pStyle w:val="ListParagraph"/>
        <w:numPr>
          <w:ilvl w:val="0"/>
          <w:numId w:val="9"/>
        </w:numPr>
      </w:pPr>
      <w:r>
        <w:t>Tisdal</w:t>
      </w:r>
      <w:r w:rsidR="001618D6">
        <w:t>e</w:t>
      </w:r>
      <w:r>
        <w:tab/>
      </w:r>
      <w:r w:rsidR="002E593F">
        <w:t xml:space="preserve"> </w:t>
      </w:r>
      <w:r>
        <w:t xml:space="preserve">Notch is in process (NOP) but spring rearing flows are just conceptual wish list </w:t>
      </w:r>
    </w:p>
    <w:p w:rsidR="00DF5CEB" w:rsidRDefault="002E593F" w:rsidP="00D5557D">
      <w:pPr>
        <w:pStyle w:val="ListParagraph"/>
        <w:numPr>
          <w:ilvl w:val="0"/>
          <w:numId w:val="9"/>
        </w:numPr>
      </w:pPr>
      <w:r>
        <w:t xml:space="preserve">Identify methodology </w:t>
      </w:r>
      <w:r w:rsidR="00DF5CEB">
        <w:t>to differentiate and analyze an actual project from a concept</w:t>
      </w:r>
      <w:r w:rsidR="001618D6">
        <w:t>ual one</w:t>
      </w:r>
      <w:r w:rsidR="00DF5CEB">
        <w:t xml:space="preserve"> </w:t>
      </w:r>
    </w:p>
    <w:p w:rsidR="00FA2976" w:rsidRDefault="00FA2976" w:rsidP="00D5557D">
      <w:pPr>
        <w:pStyle w:val="ListParagraph"/>
        <w:numPr>
          <w:ilvl w:val="0"/>
          <w:numId w:val="10"/>
        </w:numPr>
      </w:pPr>
      <w:r>
        <w:t xml:space="preserve">Travel time from Shasta to Delta needs to be incorporated into the project analysis as conditions at diversions can be very different from downstream conditions. </w:t>
      </w:r>
    </w:p>
    <w:p w:rsidR="00FA2976" w:rsidRDefault="00FA2976" w:rsidP="00FA2976">
      <w:pPr>
        <w:pStyle w:val="ListParagraph"/>
        <w:numPr>
          <w:ilvl w:val="0"/>
          <w:numId w:val="9"/>
        </w:numPr>
      </w:pPr>
      <w:r>
        <w:t>Shasta to Delta is about 5-6 days</w:t>
      </w:r>
    </w:p>
    <w:p w:rsidR="00FA2976" w:rsidRDefault="001618D6" w:rsidP="00FA2976">
      <w:pPr>
        <w:pStyle w:val="ListParagraph"/>
        <w:numPr>
          <w:ilvl w:val="0"/>
          <w:numId w:val="9"/>
        </w:numPr>
      </w:pPr>
      <w:r>
        <w:t>Hami</w:t>
      </w:r>
      <w:r w:rsidR="002E593F">
        <w:t>lton to KL is 3-</w:t>
      </w:r>
      <w:r w:rsidR="00FA2976">
        <w:t>ish days</w:t>
      </w:r>
    </w:p>
    <w:p w:rsidR="00FA2976" w:rsidRDefault="00FA2976" w:rsidP="00FA2976">
      <w:pPr>
        <w:pStyle w:val="ListParagraph"/>
        <w:numPr>
          <w:ilvl w:val="0"/>
          <w:numId w:val="9"/>
        </w:numPr>
      </w:pPr>
      <w:r>
        <w:t xml:space="preserve">Shasta to Keswick is about 1 day </w:t>
      </w:r>
    </w:p>
    <w:p w:rsidR="00DF5CEB" w:rsidRDefault="00FA2976" w:rsidP="00FA2976">
      <w:pPr>
        <w:pStyle w:val="ListParagraph"/>
        <w:numPr>
          <w:ilvl w:val="0"/>
          <w:numId w:val="9"/>
        </w:numPr>
      </w:pPr>
      <w:r>
        <w:t xml:space="preserve">By the time the flood peak hits the </w:t>
      </w:r>
      <w:r w:rsidR="002E593F">
        <w:t>D</w:t>
      </w:r>
      <w:r>
        <w:t>elta the conditions at the diversions would be 3-4 days in the past</w:t>
      </w:r>
    </w:p>
    <w:p w:rsidR="001C1FF3" w:rsidRDefault="001C1FF3" w:rsidP="001C1FF3">
      <w:pPr>
        <w:pStyle w:val="ListParagraph"/>
        <w:numPr>
          <w:ilvl w:val="1"/>
          <w:numId w:val="9"/>
        </w:numPr>
      </w:pPr>
      <w:r>
        <w:t>Tax table was an approach to address that.</w:t>
      </w:r>
    </w:p>
    <w:p w:rsidR="00FA2976" w:rsidRDefault="00FA2976" w:rsidP="00FA2976">
      <w:pPr>
        <w:pStyle w:val="ListParagraph"/>
        <w:numPr>
          <w:ilvl w:val="0"/>
          <w:numId w:val="9"/>
        </w:numPr>
      </w:pPr>
      <w:r>
        <w:t xml:space="preserve">Flow protections at the diversions could be used and that would </w:t>
      </w:r>
      <w:r w:rsidR="001618D6">
        <w:t>propagate</w:t>
      </w:r>
      <w:r>
        <w:t xml:space="preserve"> those protections or benefit</w:t>
      </w:r>
      <w:r w:rsidR="002E593F">
        <w:t>s</w:t>
      </w:r>
      <w:r>
        <w:t xml:space="preserve"> for fish downstream </w:t>
      </w:r>
    </w:p>
    <w:p w:rsidR="00D5557D" w:rsidRDefault="00D5557D" w:rsidP="00142178">
      <w:pPr>
        <w:pStyle w:val="ListParagraph"/>
        <w:numPr>
          <w:ilvl w:val="0"/>
          <w:numId w:val="9"/>
        </w:numPr>
      </w:pPr>
      <w:r>
        <w:t>Can there be a correlation from 44</w:t>
      </w:r>
      <w:r w:rsidR="002E593F">
        <w:t>.5</w:t>
      </w:r>
      <w:r>
        <w:t>K NDOI back to conditions at the diversions to account for time of travel and allow real-time operations?</w:t>
      </w:r>
    </w:p>
    <w:p w:rsidR="00D5557D" w:rsidRDefault="00D5557D" w:rsidP="00D5557D">
      <w:pPr>
        <w:pStyle w:val="ListParagraph"/>
        <w:numPr>
          <w:ilvl w:val="1"/>
          <w:numId w:val="9"/>
        </w:numPr>
      </w:pPr>
      <w:r>
        <w:t xml:space="preserve">The daily model could do the backward iteration </w:t>
      </w:r>
    </w:p>
    <w:p w:rsidR="00FA2976" w:rsidRDefault="00D5557D" w:rsidP="00D5557D">
      <w:pPr>
        <w:pStyle w:val="ListParagraph"/>
        <w:numPr>
          <w:ilvl w:val="0"/>
          <w:numId w:val="10"/>
        </w:numPr>
      </w:pPr>
      <w:r>
        <w:t>Cri</w:t>
      </w:r>
      <w:r>
        <w:t xml:space="preserve">teria at diversion facilities that includes the </w:t>
      </w:r>
      <w:r w:rsidR="001618D6">
        <w:t>backward</w:t>
      </w:r>
      <w:r>
        <w:t xml:space="preserve"> iteration would need to be chosen with the downstream criteria in min</w:t>
      </w:r>
      <w:bookmarkStart w:id="0" w:name="_GoBack"/>
      <w:bookmarkEnd w:id="0"/>
      <w:r>
        <w:t>d.</w:t>
      </w:r>
    </w:p>
    <w:p w:rsidR="00D5557D" w:rsidRDefault="00D5557D" w:rsidP="00D5557D">
      <w:pPr>
        <w:pStyle w:val="ListParagraph"/>
        <w:numPr>
          <w:ilvl w:val="1"/>
          <w:numId w:val="10"/>
        </w:numPr>
      </w:pPr>
      <w:r>
        <w:t>Would be analyzed to see the effect of that criteria</w:t>
      </w:r>
      <w:r w:rsidR="001C1FF3">
        <w:t xml:space="preserve"> (negative and beneficial)</w:t>
      </w:r>
    </w:p>
    <w:p w:rsidR="00D5557D" w:rsidRDefault="00D5557D" w:rsidP="00D5557D">
      <w:pPr>
        <w:pStyle w:val="ListParagraph"/>
        <w:numPr>
          <w:ilvl w:val="1"/>
          <w:numId w:val="10"/>
        </w:numPr>
      </w:pPr>
      <w:r>
        <w:t>Adjust criteria at diversion to minimize</w:t>
      </w:r>
      <w:r w:rsidR="001C1FF3">
        <w:t xml:space="preserve">/maximize </w:t>
      </w:r>
      <w:r>
        <w:t>effect</w:t>
      </w:r>
      <w:r w:rsidRPr="00D5557D">
        <w:t xml:space="preserve"> </w:t>
      </w:r>
    </w:p>
    <w:p w:rsidR="00FA2976" w:rsidRDefault="00D5557D" w:rsidP="0039558E">
      <w:pPr>
        <w:pStyle w:val="ListParagraph"/>
        <w:numPr>
          <w:ilvl w:val="1"/>
          <w:numId w:val="10"/>
        </w:numPr>
      </w:pPr>
      <w:r>
        <w:t>Mitigate the</w:t>
      </w:r>
      <w:r>
        <w:t xml:space="preserve"> residual impacts</w:t>
      </w:r>
    </w:p>
    <w:p w:rsidR="001C1FF3" w:rsidRDefault="001C1FF3" w:rsidP="009D30F5">
      <w:pPr>
        <w:pStyle w:val="ListParagraph"/>
        <w:numPr>
          <w:ilvl w:val="0"/>
          <w:numId w:val="10"/>
        </w:numPr>
      </w:pPr>
      <w:r>
        <w:t xml:space="preserve">Members are not in total </w:t>
      </w:r>
      <w:r w:rsidR="001618D6">
        <w:t>agreement</w:t>
      </w:r>
      <w:r>
        <w:t xml:space="preserve"> on CDFW approach (deal or analysis) and that needs to be addressed in Res Com and Board </w:t>
      </w:r>
    </w:p>
    <w:p w:rsidR="00560545" w:rsidRDefault="00560545" w:rsidP="00560545">
      <w:pPr>
        <w:pStyle w:val="ListParagraph"/>
        <w:numPr>
          <w:ilvl w:val="1"/>
          <w:numId w:val="10"/>
        </w:numPr>
      </w:pPr>
      <w:r>
        <w:t xml:space="preserve">AI: Ali to discuss with Jerry </w:t>
      </w:r>
      <w:r w:rsidR="00404065">
        <w:t>and get direction</w:t>
      </w:r>
    </w:p>
    <w:p w:rsidR="001C1FF3" w:rsidRDefault="001C1FF3" w:rsidP="009D30F5">
      <w:pPr>
        <w:pStyle w:val="ListParagraph"/>
        <w:numPr>
          <w:ilvl w:val="0"/>
          <w:numId w:val="10"/>
        </w:numPr>
      </w:pPr>
      <w:r>
        <w:t xml:space="preserve">Res Com and Board could provide the equivalent to a Basis of </w:t>
      </w:r>
      <w:r w:rsidR="001618D6">
        <w:t>Negotiation</w:t>
      </w:r>
      <w:r>
        <w:t xml:space="preserve"> (BON) that would define the range of acceptable criteria that sites staff can negotiate to without further approval from RC or Board. </w:t>
      </w:r>
    </w:p>
    <w:p w:rsidR="001C1FF3" w:rsidRDefault="001C1FF3" w:rsidP="001C1FF3">
      <w:pPr>
        <w:pStyle w:val="ListParagraph"/>
        <w:numPr>
          <w:ilvl w:val="1"/>
          <w:numId w:val="10"/>
        </w:numPr>
      </w:pPr>
      <w:r>
        <w:t>AI: Refine tax table to backward iteration of fishery effects and then determine the yield and engineering inputs needed to incorporate into the BON</w:t>
      </w:r>
    </w:p>
    <w:p w:rsidR="005A02BD" w:rsidRDefault="005A02BD" w:rsidP="00404065">
      <w:pPr>
        <w:pStyle w:val="ListParagraph"/>
        <w:numPr>
          <w:ilvl w:val="0"/>
          <w:numId w:val="10"/>
        </w:numPr>
      </w:pPr>
      <w:r>
        <w:t>May need to rely on a CDFW policy decision for our proposed permit criteria</w:t>
      </w:r>
    </w:p>
    <w:p w:rsidR="005A02BD" w:rsidRDefault="001618D6" w:rsidP="005A02BD">
      <w:pPr>
        <w:pStyle w:val="ListParagraph"/>
        <w:numPr>
          <w:ilvl w:val="1"/>
          <w:numId w:val="10"/>
        </w:numPr>
      </w:pPr>
      <w:r>
        <w:t>Optimize</w:t>
      </w:r>
      <w:r w:rsidR="005A02BD">
        <w:t xml:space="preserve"> project and acknowledge impacts and benefits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>Compare to the CDFW scenarios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 xml:space="preserve">Define the yield and cost </w:t>
      </w:r>
      <w:r w:rsidR="001618D6">
        <w:t>requirements</w:t>
      </w:r>
      <w:r>
        <w:t xml:space="preserve"> in the BON</w:t>
      </w:r>
    </w:p>
    <w:p w:rsidR="00404065" w:rsidRDefault="005A02BD" w:rsidP="00404065">
      <w:pPr>
        <w:pStyle w:val="ListParagraph"/>
        <w:numPr>
          <w:ilvl w:val="1"/>
          <w:numId w:val="10"/>
        </w:numPr>
      </w:pPr>
      <w:r>
        <w:t xml:space="preserve">Educate </w:t>
      </w:r>
      <w:r w:rsidR="00404065">
        <w:t xml:space="preserve">CDFW </w:t>
      </w:r>
      <w:r>
        <w:t>about the</w:t>
      </w:r>
      <w:r w:rsidR="00404065">
        <w:t xml:space="preserve"> rational for upstream protections</w:t>
      </w:r>
      <w:r>
        <w:t xml:space="preserve"> and how they relate to downstream benefits and effects to areas they are concerned with (ITP) </w:t>
      </w:r>
    </w:p>
    <w:p w:rsidR="00404065" w:rsidRDefault="005A02BD" w:rsidP="00D71B23">
      <w:pPr>
        <w:pStyle w:val="ListParagraph"/>
        <w:numPr>
          <w:ilvl w:val="1"/>
          <w:numId w:val="10"/>
        </w:numPr>
      </w:pPr>
      <w:r>
        <w:t xml:space="preserve">Elevate to </w:t>
      </w:r>
      <w:r w:rsidR="00404065">
        <w:t xml:space="preserve">CDFW MGT </w:t>
      </w:r>
      <w:r>
        <w:t>to make a decision (a</w:t>
      </w:r>
      <w:r>
        <w:t>ccept, reject or conditionally accept with revision</w:t>
      </w:r>
      <w:r>
        <w:t xml:space="preserve">) based on benefits and effects not staff-proposed downstream criteria. </w:t>
      </w:r>
    </w:p>
    <w:p w:rsidR="005A02BD" w:rsidRDefault="005A02BD" w:rsidP="005A02BD">
      <w:pPr>
        <w:pStyle w:val="ListParagraph"/>
        <w:numPr>
          <w:ilvl w:val="0"/>
          <w:numId w:val="10"/>
        </w:numPr>
      </w:pPr>
      <w:r>
        <w:t xml:space="preserve">Will need to campaign with NGOs that highlight the benefits and </w:t>
      </w:r>
      <w:r w:rsidR="001618D6">
        <w:t>objectives</w:t>
      </w:r>
      <w:r>
        <w:t xml:space="preserve"> of the project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>Temperature relief for winter run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>Back to back dry years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 xml:space="preserve">Coldwater pool </w:t>
      </w:r>
    </w:p>
    <w:p w:rsidR="005A02BD" w:rsidRDefault="005A02BD" w:rsidP="005A02BD">
      <w:pPr>
        <w:pStyle w:val="ListParagraph"/>
        <w:numPr>
          <w:ilvl w:val="1"/>
          <w:numId w:val="10"/>
        </w:numPr>
      </w:pPr>
      <w:r>
        <w:t xml:space="preserve"> Protect hydrograph, </w:t>
      </w:r>
      <w:r w:rsidR="001618D6">
        <w:t>etc.</w:t>
      </w:r>
    </w:p>
    <w:p w:rsidR="001C1FF3" w:rsidRDefault="001C1FF3" w:rsidP="009D30F5"/>
    <w:p w:rsidR="001C1FF3" w:rsidRPr="00DF5CEB" w:rsidRDefault="001C1FF3" w:rsidP="009D30F5"/>
    <w:p w:rsidR="00DF5CEB" w:rsidRPr="00DF5CEB" w:rsidRDefault="00DF5CEB" w:rsidP="009D30F5"/>
    <w:sectPr w:rsidR="00DF5CEB" w:rsidRPr="00DF5CEB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7A" w:rsidRDefault="0027407A" w:rsidP="009C4219">
      <w:r>
        <w:separator/>
      </w:r>
    </w:p>
  </w:endnote>
  <w:endnote w:type="continuationSeparator" w:id="0">
    <w:p w:rsidR="0027407A" w:rsidRDefault="0027407A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7A" w:rsidRDefault="0027407A" w:rsidP="009C4219">
      <w:r>
        <w:separator/>
      </w:r>
    </w:p>
  </w:footnote>
  <w:footnote w:type="continuationSeparator" w:id="0">
    <w:p w:rsidR="0027407A" w:rsidRDefault="0027407A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D0A8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6DB6"/>
    <w:multiLevelType w:val="hybridMultilevel"/>
    <w:tmpl w:val="3D18274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00D8A"/>
    <w:multiLevelType w:val="hybridMultilevel"/>
    <w:tmpl w:val="D0A8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66916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25E3A"/>
    <w:rsid w:val="00032995"/>
    <w:rsid w:val="00035139"/>
    <w:rsid w:val="00037848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2FC0"/>
    <w:rsid w:val="00140812"/>
    <w:rsid w:val="0015007A"/>
    <w:rsid w:val="00152E74"/>
    <w:rsid w:val="001618D6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1FF3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7407A"/>
    <w:rsid w:val="00294C3B"/>
    <w:rsid w:val="00295B57"/>
    <w:rsid w:val="002B607C"/>
    <w:rsid w:val="002C06D3"/>
    <w:rsid w:val="002C42E3"/>
    <w:rsid w:val="002D3BF3"/>
    <w:rsid w:val="002D6BBA"/>
    <w:rsid w:val="002E0234"/>
    <w:rsid w:val="002E593F"/>
    <w:rsid w:val="002F1F2C"/>
    <w:rsid w:val="00302D73"/>
    <w:rsid w:val="0030770F"/>
    <w:rsid w:val="00312754"/>
    <w:rsid w:val="00332000"/>
    <w:rsid w:val="00342486"/>
    <w:rsid w:val="00355777"/>
    <w:rsid w:val="00356D3F"/>
    <w:rsid w:val="00361E97"/>
    <w:rsid w:val="00371F96"/>
    <w:rsid w:val="00380300"/>
    <w:rsid w:val="00395AC4"/>
    <w:rsid w:val="003A134B"/>
    <w:rsid w:val="003A2521"/>
    <w:rsid w:val="003A2D65"/>
    <w:rsid w:val="003A5CC4"/>
    <w:rsid w:val="003F70C1"/>
    <w:rsid w:val="003F7A86"/>
    <w:rsid w:val="00404065"/>
    <w:rsid w:val="00414DE5"/>
    <w:rsid w:val="00420AFF"/>
    <w:rsid w:val="00421054"/>
    <w:rsid w:val="00451440"/>
    <w:rsid w:val="004726A0"/>
    <w:rsid w:val="00473DBE"/>
    <w:rsid w:val="00480D8C"/>
    <w:rsid w:val="004909BD"/>
    <w:rsid w:val="004956D8"/>
    <w:rsid w:val="004A4198"/>
    <w:rsid w:val="004B671B"/>
    <w:rsid w:val="004C7B39"/>
    <w:rsid w:val="004D7101"/>
    <w:rsid w:val="004E6E53"/>
    <w:rsid w:val="00500E03"/>
    <w:rsid w:val="00511F20"/>
    <w:rsid w:val="00513D68"/>
    <w:rsid w:val="005200FD"/>
    <w:rsid w:val="00523DE1"/>
    <w:rsid w:val="00525C1C"/>
    <w:rsid w:val="005311DB"/>
    <w:rsid w:val="0054119F"/>
    <w:rsid w:val="00552206"/>
    <w:rsid w:val="00560545"/>
    <w:rsid w:val="005615A9"/>
    <w:rsid w:val="00561D83"/>
    <w:rsid w:val="00564036"/>
    <w:rsid w:val="00580BA7"/>
    <w:rsid w:val="00590BE9"/>
    <w:rsid w:val="005913F5"/>
    <w:rsid w:val="005A02BD"/>
    <w:rsid w:val="005A5CCD"/>
    <w:rsid w:val="005C7FEB"/>
    <w:rsid w:val="005D1B6E"/>
    <w:rsid w:val="005E0B15"/>
    <w:rsid w:val="005E601C"/>
    <w:rsid w:val="005F3F32"/>
    <w:rsid w:val="005F4009"/>
    <w:rsid w:val="005F547B"/>
    <w:rsid w:val="00602FD7"/>
    <w:rsid w:val="00604493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08DB"/>
    <w:rsid w:val="00693724"/>
    <w:rsid w:val="006A7B07"/>
    <w:rsid w:val="006B0940"/>
    <w:rsid w:val="006B496B"/>
    <w:rsid w:val="006B5618"/>
    <w:rsid w:val="006B5FB8"/>
    <w:rsid w:val="006B7CCE"/>
    <w:rsid w:val="006C690C"/>
    <w:rsid w:val="00714D24"/>
    <w:rsid w:val="0072743F"/>
    <w:rsid w:val="007335E0"/>
    <w:rsid w:val="00735FB8"/>
    <w:rsid w:val="0075682C"/>
    <w:rsid w:val="00762F02"/>
    <w:rsid w:val="007679C9"/>
    <w:rsid w:val="00772284"/>
    <w:rsid w:val="00775F9C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B79"/>
    <w:rsid w:val="00811F45"/>
    <w:rsid w:val="00823681"/>
    <w:rsid w:val="00825798"/>
    <w:rsid w:val="008375E7"/>
    <w:rsid w:val="008545F6"/>
    <w:rsid w:val="00864CA7"/>
    <w:rsid w:val="00875DA6"/>
    <w:rsid w:val="008809E6"/>
    <w:rsid w:val="00886428"/>
    <w:rsid w:val="00891C15"/>
    <w:rsid w:val="008A0525"/>
    <w:rsid w:val="008A1365"/>
    <w:rsid w:val="008A2AC6"/>
    <w:rsid w:val="008A30E1"/>
    <w:rsid w:val="008A604C"/>
    <w:rsid w:val="008A6FAD"/>
    <w:rsid w:val="008C2059"/>
    <w:rsid w:val="008D17AF"/>
    <w:rsid w:val="008D43F5"/>
    <w:rsid w:val="008F57A3"/>
    <w:rsid w:val="008F613A"/>
    <w:rsid w:val="008F6CA2"/>
    <w:rsid w:val="00915482"/>
    <w:rsid w:val="00922890"/>
    <w:rsid w:val="009265BA"/>
    <w:rsid w:val="00936DDB"/>
    <w:rsid w:val="0094343A"/>
    <w:rsid w:val="009548D1"/>
    <w:rsid w:val="009851FA"/>
    <w:rsid w:val="00987E25"/>
    <w:rsid w:val="0099522A"/>
    <w:rsid w:val="009A5409"/>
    <w:rsid w:val="009C4219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116E3"/>
    <w:rsid w:val="00A41EAB"/>
    <w:rsid w:val="00A42809"/>
    <w:rsid w:val="00A6254B"/>
    <w:rsid w:val="00A674EB"/>
    <w:rsid w:val="00A6767A"/>
    <w:rsid w:val="00A71256"/>
    <w:rsid w:val="00A744B5"/>
    <w:rsid w:val="00A77AA2"/>
    <w:rsid w:val="00A87ACA"/>
    <w:rsid w:val="00AA5624"/>
    <w:rsid w:val="00AB3283"/>
    <w:rsid w:val="00AC234E"/>
    <w:rsid w:val="00AD22EC"/>
    <w:rsid w:val="00AE4F56"/>
    <w:rsid w:val="00AF5D9F"/>
    <w:rsid w:val="00AF783F"/>
    <w:rsid w:val="00B07945"/>
    <w:rsid w:val="00B41BAB"/>
    <w:rsid w:val="00B5737B"/>
    <w:rsid w:val="00B711DF"/>
    <w:rsid w:val="00B721AF"/>
    <w:rsid w:val="00B73436"/>
    <w:rsid w:val="00B8470A"/>
    <w:rsid w:val="00B87E16"/>
    <w:rsid w:val="00B9402A"/>
    <w:rsid w:val="00B94435"/>
    <w:rsid w:val="00B95556"/>
    <w:rsid w:val="00BA0712"/>
    <w:rsid w:val="00BA26E5"/>
    <w:rsid w:val="00BA6F31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E459D"/>
    <w:rsid w:val="00CE7951"/>
    <w:rsid w:val="00D1238C"/>
    <w:rsid w:val="00D15C6B"/>
    <w:rsid w:val="00D17355"/>
    <w:rsid w:val="00D17DC5"/>
    <w:rsid w:val="00D21664"/>
    <w:rsid w:val="00D24A0A"/>
    <w:rsid w:val="00D3611A"/>
    <w:rsid w:val="00D41203"/>
    <w:rsid w:val="00D439F5"/>
    <w:rsid w:val="00D5557D"/>
    <w:rsid w:val="00D65B01"/>
    <w:rsid w:val="00DA2918"/>
    <w:rsid w:val="00DB45A6"/>
    <w:rsid w:val="00DC2BC0"/>
    <w:rsid w:val="00DC4507"/>
    <w:rsid w:val="00DE1C98"/>
    <w:rsid w:val="00DE362F"/>
    <w:rsid w:val="00DF10C0"/>
    <w:rsid w:val="00DF5CEB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20F1"/>
    <w:rsid w:val="00E86080"/>
    <w:rsid w:val="00E91F60"/>
    <w:rsid w:val="00EA3496"/>
    <w:rsid w:val="00EA3FCF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07CAE"/>
    <w:rsid w:val="00F14F84"/>
    <w:rsid w:val="00F32131"/>
    <w:rsid w:val="00F35DBB"/>
    <w:rsid w:val="00F45DC8"/>
    <w:rsid w:val="00F60D3B"/>
    <w:rsid w:val="00F73CBF"/>
    <w:rsid w:val="00F81074"/>
    <w:rsid w:val="00F8664A"/>
    <w:rsid w:val="00F92E32"/>
    <w:rsid w:val="00FA2976"/>
    <w:rsid w:val="00FC0208"/>
    <w:rsid w:val="00FC30F9"/>
    <w:rsid w:val="00FD7CB0"/>
    <w:rsid w:val="00FE1606"/>
    <w:rsid w:val="00FE243A"/>
    <w:rsid w:val="00FE6EB3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W2DYDCZSR3KP-599401305-18692</_dlc_DocId>
    <_dlc_DocIdUrl xmlns="d9320a93-a9f0-4135-97e0-380ac3311a04">
      <Url>https://sitesreservoirproject.sharepoint.com/EnvPlanning/_layouts/15/DocIdRedir.aspx?ID=W2DYDCZSR3KP-599401305-18692</Url>
      <Description>W2DYDCZSR3KP-599401305-18692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EE68E-0D82-45C6-99F3-455553D96B2A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ED5B6F-2672-455C-90CF-B17B0A88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9</cp:revision>
  <cp:lastPrinted>2014-09-26T19:48:00Z</cp:lastPrinted>
  <dcterms:created xsi:type="dcterms:W3CDTF">2020-05-27T21:20:00Z</dcterms:created>
  <dcterms:modified xsi:type="dcterms:W3CDTF">2020-05-27T22:27:00Z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5f80f4c4-1644-4ca2-bab3-632a39d39f0c</vt:lpwstr>
  </property>
</Properties>
</file>