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E5" w:rsidRDefault="00371F96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225637</wp:posOffset>
            </wp:positionV>
            <wp:extent cx="1229995" cy="818515"/>
            <wp:effectExtent l="0" t="0" r="825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es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B8A" w:rsidRPr="00EF55A8" w:rsidRDefault="00122FC0" w:rsidP="001F1B8A">
      <w:pPr>
        <w:pStyle w:val="Maintitle"/>
        <w:rPr>
          <w:sz w:val="40"/>
          <w:szCs w:val="40"/>
        </w:rPr>
      </w:pPr>
      <w:r>
        <w:rPr>
          <w:sz w:val="40"/>
          <w:szCs w:val="40"/>
        </w:rPr>
        <w:t>CDFW 2020 Strategy Session</w:t>
      </w:r>
      <w:r w:rsidR="00823681">
        <w:rPr>
          <w:sz w:val="40"/>
          <w:szCs w:val="40"/>
        </w:rPr>
        <w:t xml:space="preserve"> #2</w:t>
      </w:r>
    </w:p>
    <w:p w:rsidR="00152E74" w:rsidRDefault="0030770F" w:rsidP="00117B3D">
      <w:pPr>
        <w:pStyle w:val="Maintitle"/>
        <w:spacing w:after="40"/>
        <w:rPr>
          <w:sz w:val="40"/>
          <w:szCs w:val="40"/>
        </w:rPr>
      </w:pPr>
      <w:r>
        <w:rPr>
          <w:sz w:val="40"/>
          <w:szCs w:val="40"/>
        </w:rPr>
        <w:t xml:space="preserve">Meeting </w:t>
      </w:r>
      <w:r w:rsidR="00152E74" w:rsidRPr="00EF55A8">
        <w:rPr>
          <w:sz w:val="40"/>
          <w:szCs w:val="40"/>
        </w:rPr>
        <w:t>Agenda</w:t>
      </w:r>
    </w:p>
    <w:p w:rsidR="003A2D65" w:rsidRDefault="003A2D65" w:rsidP="00117B3D">
      <w:pPr>
        <w:pStyle w:val="Maintitle"/>
        <w:spacing w:after="40"/>
        <w:rPr>
          <w:sz w:val="40"/>
          <w:szCs w:val="40"/>
        </w:rPr>
      </w:pPr>
    </w:p>
    <w:p w:rsidR="003A2D65" w:rsidRPr="003A2D65" w:rsidRDefault="003A2D65" w:rsidP="003A2D65">
      <w:pPr>
        <w:pStyle w:val="MainTitle0"/>
        <w:spacing w:after="0"/>
        <w:jc w:val="right"/>
        <w:rPr>
          <w:rFonts w:ascii="Arial" w:hAnsi="Arial" w:cs="Arial"/>
          <w:sz w:val="24"/>
          <w:szCs w:val="24"/>
        </w:rPr>
      </w:pPr>
      <w:r w:rsidRPr="00D76DC7">
        <w:rPr>
          <w:rFonts w:ascii="Arial" w:hAnsi="Arial" w:cs="Arial"/>
          <w:sz w:val="24"/>
          <w:szCs w:val="24"/>
        </w:rPr>
        <w:t>S</w:t>
      </w:r>
      <w:r w:rsidR="00371F96">
        <w:rPr>
          <w:rFonts w:ascii="Arial" w:hAnsi="Arial" w:cs="Arial"/>
          <w:sz w:val="24"/>
          <w:szCs w:val="24"/>
        </w:rPr>
        <w:t>ites Reservoir Project</w:t>
      </w: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490"/>
      </w:tblGrid>
      <w:tr w:rsidR="00152E74" w:rsidRPr="008F613A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52E74" w:rsidRPr="00122FC0" w:rsidRDefault="0000155F" w:rsidP="0000155F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July 14, 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52E74" w:rsidRPr="005F4009" w:rsidRDefault="00152E74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52E74" w:rsidRDefault="00122FC0" w:rsidP="00525C1C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WebEx</w:t>
            </w:r>
          </w:p>
          <w:p w:rsidR="00122FC0" w:rsidRPr="00122FC0" w:rsidRDefault="00122FC0" w:rsidP="00525C1C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Call in :</w:t>
            </w:r>
            <w:r>
              <w:t xml:space="preserve"> </w:t>
            </w:r>
            <w:r w:rsidRPr="00122FC0">
              <w:rPr>
                <w:szCs w:val="22"/>
              </w:rPr>
              <w:t>408-418-9388</w:t>
            </w:r>
            <w:r>
              <w:rPr>
                <w:szCs w:val="22"/>
              </w:rPr>
              <w:t>, access code</w:t>
            </w:r>
            <w:r w:rsidRPr="00122FC0">
              <w:rPr>
                <w:szCs w:val="22"/>
              </w:rPr>
              <w:t xml:space="preserve">: </w:t>
            </w:r>
            <w:r w:rsidR="0000155F" w:rsidRPr="0000155F">
              <w:rPr>
                <w:szCs w:val="22"/>
              </w:rPr>
              <w:t>146 539 3309</w:t>
            </w:r>
          </w:p>
        </w:tc>
      </w:tr>
      <w:tr w:rsidR="002F1F2C" w:rsidRPr="008F613A" w:rsidTr="00B721AF">
        <w:trPr>
          <w:trHeight w:val="361"/>
        </w:trPr>
        <w:tc>
          <w:tcPr>
            <w:tcW w:w="810" w:type="dxa"/>
            <w:shd w:val="clear" w:color="auto" w:fill="FFFFFF" w:themeFill="background1"/>
            <w:vAlign w:val="center"/>
          </w:tcPr>
          <w:p w:rsidR="002F1F2C" w:rsidRPr="005F4009" w:rsidRDefault="002F1F2C" w:rsidP="00D65B01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10170" w:type="dxa"/>
            <w:gridSpan w:val="3"/>
            <w:shd w:val="clear" w:color="auto" w:fill="auto"/>
            <w:vAlign w:val="center"/>
          </w:tcPr>
          <w:p w:rsidR="002F1F2C" w:rsidRPr="008F613A" w:rsidRDefault="0000155F" w:rsidP="0000155F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122FC0">
              <w:rPr>
                <w:szCs w:val="22"/>
              </w:rPr>
              <w:t>:</w:t>
            </w:r>
            <w:r>
              <w:rPr>
                <w:szCs w:val="22"/>
              </w:rPr>
              <w:t>0</w:t>
            </w:r>
            <w:r w:rsidR="00122FC0">
              <w:rPr>
                <w:szCs w:val="22"/>
              </w:rPr>
              <w:t xml:space="preserve">0 pm – </w:t>
            </w:r>
            <w:r>
              <w:rPr>
                <w:szCs w:val="22"/>
              </w:rPr>
              <w:t>2:30</w:t>
            </w:r>
            <w:r w:rsidR="00122FC0">
              <w:rPr>
                <w:szCs w:val="22"/>
              </w:rPr>
              <w:t xml:space="preserve"> p</w:t>
            </w:r>
            <w:r w:rsidR="0030770F">
              <w:rPr>
                <w:szCs w:val="22"/>
              </w:rPr>
              <w:t>m</w:t>
            </w:r>
          </w:p>
        </w:tc>
      </w:tr>
    </w:tbl>
    <w:p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23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5"/>
        <w:gridCol w:w="2340"/>
        <w:gridCol w:w="810"/>
        <w:gridCol w:w="1530"/>
        <w:gridCol w:w="1710"/>
      </w:tblGrid>
      <w:tr w:rsidR="00152E74" w:rsidRPr="008F613A" w:rsidTr="007A39C8">
        <w:trPr>
          <w:trHeight w:val="122"/>
        </w:trPr>
        <w:tc>
          <w:tcPr>
            <w:tcW w:w="1023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3468" w:rsidRPr="008F613A" w:rsidRDefault="00780B75" w:rsidP="00122FC0">
            <w:pPr>
              <w:pStyle w:val="mainbodytext"/>
              <w:spacing w:before="60" w:after="60"/>
              <w:rPr>
                <w:szCs w:val="22"/>
              </w:rPr>
            </w:pPr>
            <w:r w:rsidRPr="008F613A">
              <w:rPr>
                <w:b/>
                <w:szCs w:val="22"/>
              </w:rPr>
              <w:t>Purpose:</w:t>
            </w:r>
            <w:r w:rsidR="00092F84" w:rsidRPr="008F613A">
              <w:rPr>
                <w:szCs w:val="22"/>
              </w:rPr>
              <w:t xml:space="preserve"> </w:t>
            </w:r>
            <w:r w:rsidR="00525C1C">
              <w:rPr>
                <w:szCs w:val="22"/>
              </w:rPr>
              <w:t xml:space="preserve">Discuss and develop </w:t>
            </w:r>
            <w:r w:rsidR="00122FC0">
              <w:rPr>
                <w:szCs w:val="22"/>
              </w:rPr>
              <w:t xml:space="preserve">2020 CDFW </w:t>
            </w:r>
            <w:r w:rsidR="00875DA6">
              <w:rPr>
                <w:szCs w:val="22"/>
              </w:rPr>
              <w:t xml:space="preserve">ITP </w:t>
            </w:r>
            <w:r w:rsidR="00122FC0">
              <w:rPr>
                <w:szCs w:val="22"/>
              </w:rPr>
              <w:t>approach</w:t>
            </w:r>
            <w:r w:rsidR="00AA7654">
              <w:rPr>
                <w:szCs w:val="22"/>
              </w:rPr>
              <w:t xml:space="preserve"> and diversion criteria</w:t>
            </w:r>
          </w:p>
        </w:tc>
      </w:tr>
      <w:tr w:rsidR="00152E74" w:rsidRPr="005F4009" w:rsidTr="007A39C8">
        <w:trPr>
          <w:trHeight w:val="179"/>
        </w:trPr>
        <w:tc>
          <w:tcPr>
            <w:tcW w:w="1023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52E74" w:rsidRPr="005F4009" w:rsidRDefault="00EF61D1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Invit</w:t>
            </w:r>
            <w:r w:rsidR="00152E74" w:rsidRPr="005F4009">
              <w:rPr>
                <w:b/>
                <w:szCs w:val="22"/>
              </w:rPr>
              <w:t>ees:</w:t>
            </w:r>
          </w:p>
        </w:tc>
      </w:tr>
      <w:tr w:rsidR="004B671B" w:rsidRPr="008F613A" w:rsidTr="00F81074">
        <w:trPr>
          <w:trHeight w:val="1016"/>
        </w:trPr>
        <w:tc>
          <w:tcPr>
            <w:tcW w:w="3845" w:type="dxa"/>
            <w:tcBorders>
              <w:left w:val="nil"/>
              <w:right w:val="nil"/>
            </w:tcBorders>
            <w:shd w:val="clear" w:color="auto" w:fill="auto"/>
          </w:tcPr>
          <w:p w:rsidR="004B671B" w:rsidRDefault="00525C1C" w:rsidP="004B671B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>Ali Forsythe,</w:t>
            </w:r>
            <w:r w:rsidR="004B671B" w:rsidRPr="008742C1">
              <w:rPr>
                <w:rStyle w:val="Style2"/>
                <w:szCs w:val="22"/>
              </w:rPr>
              <w:t xml:space="preserve"> Sites </w:t>
            </w:r>
            <w:r w:rsidR="004B671B">
              <w:rPr>
                <w:rStyle w:val="Style2"/>
                <w:szCs w:val="22"/>
              </w:rPr>
              <w:t>Authority</w:t>
            </w:r>
            <w:r w:rsidR="004B671B" w:rsidRPr="008742C1">
              <w:rPr>
                <w:rStyle w:val="Style2"/>
                <w:szCs w:val="22"/>
              </w:rPr>
              <w:t xml:space="preserve"> </w:t>
            </w:r>
          </w:p>
          <w:p w:rsidR="004726A0" w:rsidRDefault="00A87ACA" w:rsidP="00A87ACA">
            <w:pPr>
              <w:pStyle w:val="mainbodytext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7A39C8">
              <w:rPr>
                <w:color w:val="000000" w:themeColor="text1"/>
                <w:sz w:val="22"/>
                <w:szCs w:val="22"/>
              </w:rPr>
              <w:t>John Spranza, HD</w:t>
            </w:r>
            <w:r>
              <w:rPr>
                <w:color w:val="000000" w:themeColor="text1"/>
                <w:sz w:val="22"/>
                <w:szCs w:val="22"/>
              </w:rPr>
              <w:t>R</w:t>
            </w:r>
          </w:p>
          <w:p w:rsidR="00122FC0" w:rsidRPr="00C8642A" w:rsidRDefault="00122FC0" w:rsidP="00A87AC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Erin Heydinger, HDR</w:t>
            </w:r>
          </w:p>
        </w:tc>
        <w:tc>
          <w:tcPr>
            <w:tcW w:w="31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726A0" w:rsidRDefault="00A87ACA" w:rsidP="00C8642A">
            <w:pPr>
              <w:pStyle w:val="mainbodytext"/>
              <w:spacing w:before="60"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Rob Tull, Jacobs</w:t>
            </w:r>
          </w:p>
          <w:p w:rsidR="00525C1C" w:rsidRDefault="00A87ACA" w:rsidP="00A87ACA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>Chris Fitzer, ESA</w:t>
            </w:r>
          </w:p>
          <w:p w:rsidR="0000155F" w:rsidRPr="00C8642A" w:rsidRDefault="0000155F" w:rsidP="00A87ACA">
            <w:pPr>
              <w:pStyle w:val="mainbodytext"/>
              <w:spacing w:before="60" w:after="60"/>
              <w:rPr>
                <w:sz w:val="22"/>
                <w:szCs w:val="22"/>
              </w:rPr>
            </w:pPr>
            <w:r>
              <w:rPr>
                <w:rStyle w:val="Style2"/>
                <w:szCs w:val="22"/>
              </w:rPr>
              <w:t>Rob Leaf, Jacobs</w:t>
            </w: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25C1C" w:rsidRPr="008742C1" w:rsidRDefault="00525C1C" w:rsidP="00525C1C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 w:rsidRPr="008742C1">
              <w:rPr>
                <w:rStyle w:val="Style2"/>
                <w:szCs w:val="22"/>
              </w:rPr>
              <w:t>Monique Briard, ICF</w:t>
            </w:r>
          </w:p>
          <w:p w:rsidR="00525C1C" w:rsidRDefault="00525C1C" w:rsidP="00525C1C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>Jim Lecky, ICF</w:t>
            </w:r>
          </w:p>
          <w:p w:rsidR="0000155F" w:rsidRDefault="0000155F" w:rsidP="00525C1C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>Jason Hassrick, ICF</w:t>
            </w:r>
          </w:p>
          <w:p w:rsidR="0000155F" w:rsidRDefault="0000155F" w:rsidP="00525C1C">
            <w:pPr>
              <w:pStyle w:val="mainbodytext"/>
              <w:spacing w:before="60" w:after="6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>Mike Hendrick, ICF</w:t>
            </w:r>
          </w:p>
          <w:p w:rsidR="00C8642A" w:rsidRPr="008742C1" w:rsidRDefault="00C8642A" w:rsidP="00525C1C">
            <w:pPr>
              <w:pStyle w:val="mainbodytext"/>
              <w:spacing w:before="60" w:after="60"/>
              <w:rPr>
                <w:sz w:val="22"/>
                <w:szCs w:val="22"/>
              </w:rPr>
            </w:pPr>
          </w:p>
        </w:tc>
      </w:tr>
      <w:tr w:rsidR="004B671B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564036">
              <w:rPr>
                <w:rStyle w:val="Style2"/>
                <w:b/>
              </w:rPr>
              <w:t>Agenda: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CA7B4B" w:rsidRDefault="004B671B" w:rsidP="007B5F6A">
            <w:pPr>
              <w:pStyle w:val="mainbodytext"/>
              <w:spacing w:before="60" w:after="60"/>
              <w:ind w:left="-835"/>
              <w:rPr>
                <w:color w:val="000000" w:themeColor="text1"/>
                <w:szCs w:val="2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B671B" w:rsidRPr="005F4009" w:rsidRDefault="004B671B" w:rsidP="004B671B">
            <w:pPr>
              <w:pStyle w:val="mainbodytext"/>
              <w:spacing w:before="60" w:after="60"/>
            </w:pPr>
          </w:p>
        </w:tc>
      </w:tr>
      <w:tr w:rsidR="004B671B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rStyle w:val="Style2"/>
                <w:b/>
                <w:szCs w:val="22"/>
              </w:rPr>
            </w:pPr>
            <w:r w:rsidRPr="00564036">
              <w:rPr>
                <w:rStyle w:val="Style2"/>
                <w:b/>
                <w:szCs w:val="22"/>
              </w:rPr>
              <w:t>Discussion Topic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4B671B" w:rsidP="004B671B">
            <w:pPr>
              <w:pStyle w:val="mainbodytext"/>
              <w:spacing w:before="60" w:after="60"/>
              <w:rPr>
                <w:b/>
                <w:color w:val="000000" w:themeColor="text1"/>
                <w:szCs w:val="22"/>
              </w:rPr>
            </w:pPr>
            <w:r w:rsidRPr="00564036">
              <w:rPr>
                <w:b/>
                <w:color w:val="000000" w:themeColor="text1"/>
                <w:szCs w:val="22"/>
              </w:rPr>
              <w:t>Topic Leader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B671B" w:rsidRPr="00564036" w:rsidRDefault="00811B79" w:rsidP="004B671B">
            <w:pPr>
              <w:pStyle w:val="mainbodytext"/>
              <w:spacing w:before="60" w:after="60"/>
              <w:rPr>
                <w:b/>
                <w:szCs w:val="22"/>
              </w:rPr>
            </w:pPr>
            <w:r w:rsidRPr="004B6FE4">
              <w:rPr>
                <w:b/>
              </w:rPr>
              <w:t>Est Time</w:t>
            </w:r>
          </w:p>
        </w:tc>
      </w:tr>
      <w:tr w:rsidR="004B671B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42486" w:rsidRDefault="00864CA7" w:rsidP="00A15359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 </w:t>
            </w:r>
            <w:r w:rsidR="0000155F">
              <w:rPr>
                <w:rStyle w:val="Style2"/>
              </w:rPr>
              <w:t xml:space="preserve">Introductions for </w:t>
            </w:r>
            <w:r w:rsidR="00A15359">
              <w:rPr>
                <w:rStyle w:val="Style2"/>
              </w:rPr>
              <w:t>New M</w:t>
            </w:r>
            <w:r w:rsidR="0000155F">
              <w:rPr>
                <w:rStyle w:val="Style2"/>
              </w:rPr>
              <w:t xml:space="preserve">embers 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B671B" w:rsidRPr="00CA7B4B" w:rsidRDefault="0030770F" w:rsidP="00037848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John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864CA7" w:rsidRPr="005F4009" w:rsidRDefault="00811B79" w:rsidP="007A39C8">
            <w:pPr>
              <w:pStyle w:val="mainbodytext"/>
              <w:spacing w:before="60" w:after="60"/>
            </w:pPr>
            <w:r>
              <w:t>5 min</w:t>
            </w:r>
          </w:p>
        </w:tc>
      </w:tr>
      <w:tr w:rsidR="0000155F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0155F" w:rsidRDefault="0000155F" w:rsidP="00D439F5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Review and Discussion of Action Items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0155F" w:rsidRDefault="0000155F" w:rsidP="00037848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John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0155F" w:rsidRDefault="00701235" w:rsidP="007A39C8">
            <w:pPr>
              <w:pStyle w:val="mainbodytext"/>
              <w:spacing w:before="60" w:after="60"/>
            </w:pPr>
            <w:r>
              <w:t>15</w:t>
            </w:r>
            <w:r w:rsidR="0000155F">
              <w:t xml:space="preserve"> min</w:t>
            </w:r>
          </w:p>
        </w:tc>
      </w:tr>
      <w:tr w:rsidR="009D30F5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823681" w:rsidP="009D30F5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Update on Recent CDFW Meetings </w:t>
            </w:r>
          </w:p>
          <w:p w:rsidR="009D30F5" w:rsidRDefault="00A15359" w:rsidP="00FE6EB3">
            <w:pPr>
              <w:pStyle w:val="mainbodytext"/>
              <w:numPr>
                <w:ilvl w:val="0"/>
                <w:numId w:val="6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ITP </w:t>
            </w:r>
            <w:r w:rsidR="00AA7654">
              <w:rPr>
                <w:rStyle w:val="Style2"/>
              </w:rPr>
              <w:t>Staffing and Schedule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Pr="00CA7B4B" w:rsidRDefault="00853A43" w:rsidP="00823681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John</w:t>
            </w:r>
            <w:r w:rsidR="00811B79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D30F5" w:rsidRDefault="00D7474D" w:rsidP="009D30F5">
            <w:pPr>
              <w:pStyle w:val="mainbodytext"/>
              <w:spacing w:before="60" w:after="60"/>
            </w:pPr>
            <w:r>
              <w:t>5</w:t>
            </w:r>
            <w:r w:rsidR="00811B79">
              <w:t xml:space="preserve"> min</w:t>
            </w:r>
          </w:p>
        </w:tc>
      </w:tr>
      <w:tr w:rsidR="009D30F5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A15359" w:rsidP="00A15359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Update on Baseline, Modeling and Cold Water Benefits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A15359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Erin/Rob Leaf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D30F5" w:rsidRDefault="00A15359" w:rsidP="009D30F5">
            <w:pPr>
              <w:pStyle w:val="mainbodytext"/>
              <w:spacing w:before="60" w:after="60"/>
            </w:pPr>
            <w:r>
              <w:t>15</w:t>
            </w:r>
            <w:r w:rsidR="00811B79">
              <w:t xml:space="preserve"> min</w:t>
            </w:r>
          </w:p>
        </w:tc>
      </w:tr>
      <w:tr w:rsidR="009D30F5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A15359" w:rsidP="00A15359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Define </w:t>
            </w:r>
            <w:r w:rsidR="00D7474D">
              <w:rPr>
                <w:rStyle w:val="Style2"/>
              </w:rPr>
              <w:t>“</w:t>
            </w:r>
            <w:r>
              <w:rPr>
                <w:rStyle w:val="Style2"/>
              </w:rPr>
              <w:t>Reasonably Foreseeable P</w:t>
            </w:r>
            <w:r w:rsidRPr="00A15359">
              <w:rPr>
                <w:rStyle w:val="Style2"/>
              </w:rPr>
              <w:t>roject</w:t>
            </w:r>
            <w:r w:rsidR="00D7474D">
              <w:rPr>
                <w:rStyle w:val="Style2"/>
              </w:rPr>
              <w:t>”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D30F5" w:rsidRDefault="00D7474D" w:rsidP="00D7474D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John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D30F5" w:rsidRDefault="00D7474D" w:rsidP="00775F9C">
            <w:pPr>
              <w:pStyle w:val="mainbodytext"/>
              <w:spacing w:before="60" w:after="60"/>
            </w:pPr>
            <w:r>
              <w:t>15</w:t>
            </w:r>
            <w:r w:rsidR="00775F9C">
              <w:t xml:space="preserve"> min </w:t>
            </w:r>
          </w:p>
        </w:tc>
      </w:tr>
      <w:tr w:rsidR="00D7474D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7474D" w:rsidRDefault="00F1001C" w:rsidP="00F1001C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>Discuss AI-3 and AI-4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7474D" w:rsidRDefault="00D7474D" w:rsidP="00F1001C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Jim</w:t>
            </w:r>
            <w:r w:rsidR="00F1001C">
              <w:rPr>
                <w:color w:val="000000" w:themeColor="text1"/>
                <w:szCs w:val="22"/>
              </w:rPr>
              <w:t>/Leaf/Tull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D7474D" w:rsidRDefault="00701235" w:rsidP="00775F9C">
            <w:pPr>
              <w:pStyle w:val="mainbodytext"/>
              <w:spacing w:before="60" w:after="60"/>
            </w:pPr>
            <w:r>
              <w:t xml:space="preserve">20 </w:t>
            </w:r>
            <w:r w:rsidR="00D7474D">
              <w:t>min</w:t>
            </w:r>
          </w:p>
        </w:tc>
      </w:tr>
      <w:tr w:rsidR="00A15359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15359" w:rsidRDefault="00F1001C" w:rsidP="00A15359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Open Discussion 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15359" w:rsidRDefault="00C723AD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All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A15359" w:rsidRDefault="00F1001C" w:rsidP="00775F9C">
            <w:pPr>
              <w:pStyle w:val="mainbodytext"/>
              <w:spacing w:before="60" w:after="60"/>
            </w:pPr>
            <w:r>
              <w:t>10 min</w:t>
            </w:r>
          </w:p>
        </w:tc>
      </w:tr>
      <w:tr w:rsidR="00037848" w:rsidRPr="008F613A" w:rsidTr="007A39C8">
        <w:trPr>
          <w:trHeight w:val="433"/>
        </w:trPr>
        <w:tc>
          <w:tcPr>
            <w:tcW w:w="61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7848" w:rsidRDefault="00A15359" w:rsidP="00D7474D">
            <w:pPr>
              <w:pStyle w:val="mainbodytext"/>
              <w:numPr>
                <w:ilvl w:val="0"/>
                <w:numId w:val="4"/>
              </w:numPr>
              <w:spacing w:before="60" w:after="60"/>
              <w:rPr>
                <w:rStyle w:val="Style2"/>
              </w:rPr>
            </w:pPr>
            <w:r>
              <w:rPr>
                <w:rStyle w:val="Style2"/>
              </w:rPr>
              <w:t xml:space="preserve">Next Steps 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7848" w:rsidRDefault="00037848" w:rsidP="009D30F5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John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037848" w:rsidRDefault="00037848" w:rsidP="00775F9C">
            <w:pPr>
              <w:pStyle w:val="mainbodytext"/>
              <w:spacing w:before="60" w:after="60"/>
            </w:pPr>
            <w:r>
              <w:t>5 min</w:t>
            </w:r>
          </w:p>
        </w:tc>
      </w:tr>
    </w:tbl>
    <w:p w:rsidR="00B41BAB" w:rsidRDefault="00B41BAB" w:rsidP="009D30F5">
      <w:pPr>
        <w:rPr>
          <w:b/>
        </w:rPr>
      </w:pPr>
    </w:p>
    <w:tbl>
      <w:tblPr>
        <w:tblStyle w:val="TableGrid"/>
        <w:tblpPr w:leftFromText="180" w:rightFromText="180" w:vertAnchor="text" w:horzAnchor="margin" w:tblpX="85" w:tblpY="148"/>
        <w:tblW w:w="10705" w:type="dxa"/>
        <w:tblLayout w:type="fixed"/>
        <w:tblLook w:val="04A0" w:firstRow="1" w:lastRow="0" w:firstColumn="1" w:lastColumn="0" w:noHBand="0" w:noVBand="1"/>
      </w:tblPr>
      <w:tblGrid>
        <w:gridCol w:w="497"/>
        <w:gridCol w:w="3316"/>
        <w:gridCol w:w="1713"/>
        <w:gridCol w:w="1863"/>
        <w:gridCol w:w="3316"/>
      </w:tblGrid>
      <w:tr w:rsidR="00DA2D80" w:rsidRPr="00843931" w:rsidTr="00202CDB">
        <w:trPr>
          <w:tblHeader/>
        </w:trPr>
        <w:tc>
          <w:tcPr>
            <w:tcW w:w="1781" w:type="pct"/>
            <w:gridSpan w:val="2"/>
            <w:shd w:val="clear" w:color="auto" w:fill="D9D9D9" w:themeFill="background1" w:themeFillShade="D9"/>
          </w:tcPr>
          <w:p w:rsidR="00DA2D80" w:rsidRPr="00365E95" w:rsidRDefault="00DA2D80" w:rsidP="00202CDB">
            <w:pPr>
              <w:pStyle w:val="namerole"/>
              <w:rPr>
                <w:b/>
              </w:rPr>
            </w:pPr>
            <w:r w:rsidRPr="00365E95">
              <w:rPr>
                <w:b/>
              </w:rPr>
              <w:t>Action Item</w:t>
            </w:r>
            <w:r>
              <w:rPr>
                <w:b/>
              </w:rPr>
              <w:t xml:space="preserve"> 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:rsidR="00DA2D80" w:rsidRPr="00365E95" w:rsidRDefault="00DA2D80" w:rsidP="00202CDB">
            <w:pPr>
              <w:pStyle w:val="namerole"/>
              <w:rPr>
                <w:b/>
              </w:rPr>
            </w:pPr>
            <w:r w:rsidRPr="00365E95">
              <w:rPr>
                <w:b/>
              </w:rPr>
              <w:t>Owner</w:t>
            </w:r>
          </w:p>
        </w:tc>
        <w:tc>
          <w:tcPr>
            <w:tcW w:w="870" w:type="pct"/>
            <w:shd w:val="clear" w:color="auto" w:fill="D9D9D9" w:themeFill="background1" w:themeFillShade="D9"/>
          </w:tcPr>
          <w:p w:rsidR="00DA2D80" w:rsidRPr="00365E95" w:rsidRDefault="00DA2D80" w:rsidP="00202CDB">
            <w:pPr>
              <w:pStyle w:val="namerole"/>
              <w:rPr>
                <w:b/>
              </w:rPr>
            </w:pPr>
            <w:r w:rsidRPr="00365E95">
              <w:rPr>
                <w:b/>
              </w:rPr>
              <w:t>Deadline</w:t>
            </w:r>
          </w:p>
        </w:tc>
        <w:tc>
          <w:tcPr>
            <w:tcW w:w="1549" w:type="pct"/>
            <w:shd w:val="clear" w:color="auto" w:fill="D9D9D9" w:themeFill="background1" w:themeFillShade="D9"/>
          </w:tcPr>
          <w:p w:rsidR="00DA2D80" w:rsidRPr="00365E95" w:rsidRDefault="00DA2D80" w:rsidP="00202CDB">
            <w:pPr>
              <w:pStyle w:val="namerole"/>
              <w:rPr>
                <w:b/>
              </w:rPr>
            </w:pPr>
            <w:r w:rsidRPr="00365E95">
              <w:rPr>
                <w:b/>
              </w:rPr>
              <w:t>Notes</w:t>
            </w:r>
          </w:p>
        </w:tc>
      </w:tr>
      <w:tr w:rsidR="00492646" w:rsidRPr="00C60EF8" w:rsidTr="00202CDB">
        <w:tc>
          <w:tcPr>
            <w:tcW w:w="232" w:type="pct"/>
          </w:tcPr>
          <w:p w:rsidR="00492646" w:rsidRPr="00C60EF8" w:rsidRDefault="00492646" w:rsidP="00492646">
            <w:pPr>
              <w:pStyle w:val="namerole"/>
            </w:pPr>
            <w:r>
              <w:t>1</w:t>
            </w:r>
          </w:p>
        </w:tc>
        <w:tc>
          <w:tcPr>
            <w:tcW w:w="1549" w:type="pct"/>
          </w:tcPr>
          <w:p w:rsidR="00492646" w:rsidRDefault="00492646" w:rsidP="00492646">
            <w:pPr>
              <w:pStyle w:val="namerole"/>
            </w:pPr>
            <w:r>
              <w:t xml:space="preserve">Refine tax table for </w:t>
            </w:r>
            <w:r w:rsidRPr="001618D6">
              <w:t>backward iteration of fishery effects and then determine the yield and engineering inputs needed to incorporate into the BON</w:t>
            </w:r>
          </w:p>
        </w:tc>
        <w:tc>
          <w:tcPr>
            <w:tcW w:w="800" w:type="pct"/>
          </w:tcPr>
          <w:p w:rsidR="00492646" w:rsidRDefault="00492646" w:rsidP="00492646">
            <w:pPr>
              <w:pStyle w:val="namerole"/>
              <w:tabs>
                <w:tab w:val="left" w:pos="855"/>
              </w:tabs>
            </w:pPr>
            <w:r>
              <w:t>Tull/Lecky</w:t>
            </w:r>
          </w:p>
        </w:tc>
        <w:tc>
          <w:tcPr>
            <w:tcW w:w="870" w:type="pct"/>
          </w:tcPr>
          <w:p w:rsidR="00492646" w:rsidRDefault="00492646" w:rsidP="00492646">
            <w:pPr>
              <w:pStyle w:val="namerole"/>
            </w:pPr>
            <w:r>
              <w:t>TBD</w:t>
            </w:r>
          </w:p>
        </w:tc>
        <w:tc>
          <w:tcPr>
            <w:tcW w:w="1549" w:type="pct"/>
          </w:tcPr>
          <w:p w:rsidR="00492646" w:rsidRPr="006C4968" w:rsidRDefault="00492646" w:rsidP="00492646">
            <w:pPr>
              <w:pStyle w:val="namerole"/>
            </w:pPr>
          </w:p>
        </w:tc>
      </w:tr>
      <w:tr w:rsidR="00492646" w:rsidRPr="00673A6D" w:rsidTr="00202CDB">
        <w:tc>
          <w:tcPr>
            <w:tcW w:w="232" w:type="pct"/>
          </w:tcPr>
          <w:p w:rsidR="00492646" w:rsidRDefault="00492646" w:rsidP="00492646">
            <w:pPr>
              <w:pStyle w:val="namerole"/>
            </w:pPr>
            <w:r>
              <w:t>2</w:t>
            </w:r>
          </w:p>
        </w:tc>
        <w:tc>
          <w:tcPr>
            <w:tcW w:w="1549" w:type="pct"/>
          </w:tcPr>
          <w:p w:rsidR="00492646" w:rsidRDefault="00492646" w:rsidP="00492646">
            <w:pPr>
              <w:pStyle w:val="namerole"/>
            </w:pPr>
            <w:r>
              <w:t xml:space="preserve">Review/revise upstream diversion criteria for DS benefit protections </w:t>
            </w:r>
            <w:r>
              <w:lastRenderedPageBreak/>
              <w:t>and NDOI, Freeport and OMR requirements from ITP</w:t>
            </w:r>
          </w:p>
        </w:tc>
        <w:tc>
          <w:tcPr>
            <w:tcW w:w="800" w:type="pct"/>
          </w:tcPr>
          <w:p w:rsidR="00492646" w:rsidRDefault="00E11B9D" w:rsidP="00492646">
            <w:pPr>
              <w:pStyle w:val="namerole"/>
              <w:tabs>
                <w:tab w:val="left" w:pos="855"/>
              </w:tabs>
            </w:pPr>
            <w:r>
              <w:lastRenderedPageBreak/>
              <w:t>ICF and Spranza</w:t>
            </w:r>
          </w:p>
        </w:tc>
        <w:tc>
          <w:tcPr>
            <w:tcW w:w="870" w:type="pct"/>
          </w:tcPr>
          <w:p w:rsidR="00492646" w:rsidRDefault="00E11B9D" w:rsidP="00492646">
            <w:pPr>
              <w:pStyle w:val="namerole"/>
            </w:pPr>
            <w:r>
              <w:t>7/28/20</w:t>
            </w:r>
          </w:p>
        </w:tc>
        <w:tc>
          <w:tcPr>
            <w:tcW w:w="1549" w:type="pct"/>
          </w:tcPr>
          <w:p w:rsidR="00492646" w:rsidRPr="008D3767" w:rsidRDefault="00E11B9D" w:rsidP="00492646">
            <w:pPr>
              <w:pStyle w:val="namerole"/>
            </w:pPr>
            <w:r>
              <w:t>Currently being revised by ICF per discussions with Integration</w:t>
            </w:r>
          </w:p>
        </w:tc>
      </w:tr>
      <w:tr w:rsidR="00492646" w:rsidRPr="00673A6D" w:rsidTr="00202CDB">
        <w:tc>
          <w:tcPr>
            <w:tcW w:w="232" w:type="pct"/>
          </w:tcPr>
          <w:p w:rsidR="00492646" w:rsidRDefault="00492646" w:rsidP="00492646">
            <w:pPr>
              <w:pStyle w:val="namerole"/>
            </w:pPr>
            <w:r>
              <w:t>3</w:t>
            </w:r>
          </w:p>
        </w:tc>
        <w:tc>
          <w:tcPr>
            <w:tcW w:w="1549" w:type="pct"/>
          </w:tcPr>
          <w:p w:rsidR="00492646" w:rsidRDefault="00E11B9D" w:rsidP="00E11B9D">
            <w:pPr>
              <w:pStyle w:val="namerole"/>
            </w:pPr>
            <w:r>
              <w:t>Matrix for reasonably foreseeable projects and rational for inclusion/exclusion</w:t>
            </w:r>
          </w:p>
        </w:tc>
        <w:tc>
          <w:tcPr>
            <w:tcW w:w="800" w:type="pct"/>
          </w:tcPr>
          <w:p w:rsidR="00492646" w:rsidRDefault="00E11B9D" w:rsidP="00492646">
            <w:pPr>
              <w:pStyle w:val="namerole"/>
              <w:tabs>
                <w:tab w:val="left" w:pos="855"/>
              </w:tabs>
            </w:pPr>
            <w:r>
              <w:t>ICF and Spranza</w:t>
            </w:r>
          </w:p>
        </w:tc>
        <w:tc>
          <w:tcPr>
            <w:tcW w:w="870" w:type="pct"/>
          </w:tcPr>
          <w:p w:rsidR="00492646" w:rsidRDefault="00E11B9D" w:rsidP="00492646">
            <w:pPr>
              <w:pStyle w:val="namerole"/>
            </w:pPr>
            <w:r>
              <w:t>7/28/20</w:t>
            </w:r>
          </w:p>
        </w:tc>
        <w:tc>
          <w:tcPr>
            <w:tcW w:w="1549" w:type="pct"/>
          </w:tcPr>
          <w:p w:rsidR="00492646" w:rsidRPr="006C4968" w:rsidRDefault="00E11B9D" w:rsidP="00492646">
            <w:pPr>
              <w:pStyle w:val="namerole"/>
            </w:pPr>
            <w:r>
              <w:t xml:space="preserve">Currently being revised by ICF per discussions with Integration. </w:t>
            </w:r>
          </w:p>
        </w:tc>
      </w:tr>
      <w:tr w:rsidR="00492646" w:rsidRPr="00673A6D" w:rsidTr="00202CDB">
        <w:tc>
          <w:tcPr>
            <w:tcW w:w="232" w:type="pct"/>
          </w:tcPr>
          <w:p w:rsidR="00492646" w:rsidRDefault="00492646" w:rsidP="00492646">
            <w:pPr>
              <w:pStyle w:val="namerole"/>
            </w:pPr>
            <w:r>
              <w:t>4</w:t>
            </w:r>
          </w:p>
        </w:tc>
        <w:tc>
          <w:tcPr>
            <w:tcW w:w="1549" w:type="pct"/>
          </w:tcPr>
          <w:p w:rsidR="00492646" w:rsidRDefault="00CC0F55" w:rsidP="00492646">
            <w:pPr>
              <w:pStyle w:val="namerole"/>
            </w:pPr>
            <w:r>
              <w:t>Memo on fish in good condition (5937)</w:t>
            </w:r>
          </w:p>
        </w:tc>
        <w:tc>
          <w:tcPr>
            <w:tcW w:w="800" w:type="pct"/>
          </w:tcPr>
          <w:p w:rsidR="00492646" w:rsidRDefault="00CC0F55" w:rsidP="00492646">
            <w:pPr>
              <w:pStyle w:val="namerole"/>
              <w:tabs>
                <w:tab w:val="left" w:pos="855"/>
              </w:tabs>
            </w:pPr>
            <w:r>
              <w:t>ICF</w:t>
            </w:r>
          </w:p>
        </w:tc>
        <w:tc>
          <w:tcPr>
            <w:tcW w:w="870" w:type="pct"/>
          </w:tcPr>
          <w:p w:rsidR="00492646" w:rsidRDefault="00CC0F55" w:rsidP="00492646">
            <w:pPr>
              <w:pStyle w:val="namerole"/>
            </w:pPr>
            <w:r>
              <w:t>8/7/20</w:t>
            </w:r>
            <w:bookmarkStart w:id="0" w:name="_GoBack"/>
            <w:bookmarkEnd w:id="0"/>
          </w:p>
        </w:tc>
        <w:tc>
          <w:tcPr>
            <w:tcW w:w="1549" w:type="pct"/>
          </w:tcPr>
          <w:p w:rsidR="00492646" w:rsidRPr="006C4968" w:rsidRDefault="00492646" w:rsidP="00492646">
            <w:pPr>
              <w:pStyle w:val="namerole"/>
            </w:pPr>
          </w:p>
        </w:tc>
      </w:tr>
    </w:tbl>
    <w:p w:rsidR="00DA2D80" w:rsidRDefault="00DA2D80" w:rsidP="009D30F5">
      <w:pPr>
        <w:rPr>
          <w:b/>
        </w:rPr>
      </w:pPr>
    </w:p>
    <w:p w:rsidR="00DA2D80" w:rsidRPr="00F22703" w:rsidRDefault="00D7474D" w:rsidP="009D30F5">
      <w:pPr>
        <w:rPr>
          <w:b/>
          <w:vertAlign w:val="superscript"/>
        </w:rPr>
      </w:pPr>
      <w:r>
        <w:rPr>
          <w:b/>
        </w:rPr>
        <w:t xml:space="preserve">Potential </w:t>
      </w:r>
      <w:r w:rsidR="00A15359">
        <w:rPr>
          <w:b/>
        </w:rPr>
        <w:t>General CDFW Policy Approach</w:t>
      </w:r>
      <w:r>
        <w:rPr>
          <w:b/>
        </w:rPr>
        <w:t xml:space="preserve"> to ITP</w:t>
      </w:r>
      <w:r w:rsidR="00F22703">
        <w:rPr>
          <w:b/>
        </w:rPr>
        <w:t>: REVISED</w:t>
      </w:r>
      <w:r w:rsidR="00F22703">
        <w:rPr>
          <w:b/>
          <w:vertAlign w:val="superscript"/>
        </w:rPr>
        <w:t>1</w:t>
      </w:r>
    </w:p>
    <w:p w:rsidR="00F22703" w:rsidRDefault="00F22703" w:rsidP="00A15359">
      <w:pPr>
        <w:pStyle w:val="ListParagraph"/>
        <w:numPr>
          <w:ilvl w:val="0"/>
          <w:numId w:val="10"/>
        </w:numPr>
      </w:pPr>
      <w:r w:rsidRPr="00A15359">
        <w:t xml:space="preserve">Define the yield and cost requirements </w:t>
      </w:r>
      <w:r>
        <w:t xml:space="preserve">of the project </w:t>
      </w:r>
    </w:p>
    <w:p w:rsidR="00DA5678" w:rsidRDefault="00DA5678" w:rsidP="00DA5678">
      <w:pPr>
        <w:pStyle w:val="ListParagraph"/>
        <w:numPr>
          <w:ilvl w:val="1"/>
          <w:numId w:val="10"/>
        </w:numPr>
      </w:pPr>
      <w:r w:rsidRPr="00DA5678">
        <w:t>Annualized release is 230k – 240k AF at $650-$710 per AF without WIFIA or $600-660 with WIFIA loans.</w:t>
      </w:r>
    </w:p>
    <w:p w:rsidR="00F22703" w:rsidRDefault="00A15359" w:rsidP="00A15359">
      <w:pPr>
        <w:pStyle w:val="ListParagraph"/>
        <w:numPr>
          <w:ilvl w:val="0"/>
          <w:numId w:val="10"/>
        </w:numPr>
      </w:pPr>
      <w:r w:rsidRPr="00A15359">
        <w:t xml:space="preserve">Optimize project </w:t>
      </w:r>
      <w:r w:rsidR="00F22703">
        <w:t>to minimize impact where possible and achieve the identified benefits in WISP</w:t>
      </w:r>
    </w:p>
    <w:p w:rsidR="001A1529" w:rsidRDefault="001A1529" w:rsidP="001A1529">
      <w:pPr>
        <w:pStyle w:val="ListParagraph"/>
        <w:numPr>
          <w:ilvl w:val="0"/>
          <w:numId w:val="10"/>
        </w:numPr>
      </w:pPr>
      <w:r>
        <w:t>Run model and c</w:t>
      </w:r>
      <w:r w:rsidR="00A15359" w:rsidRPr="00A15359">
        <w:t>ompare to</w:t>
      </w:r>
      <w:r>
        <w:t>:</w:t>
      </w:r>
    </w:p>
    <w:p w:rsidR="001A1529" w:rsidRDefault="001A1529" w:rsidP="001A1529">
      <w:pPr>
        <w:pStyle w:val="ListParagraph"/>
        <w:numPr>
          <w:ilvl w:val="1"/>
          <w:numId w:val="10"/>
        </w:numPr>
      </w:pPr>
      <w:r>
        <w:t>With and Without Project effect</w:t>
      </w:r>
    </w:p>
    <w:p w:rsidR="001A1529" w:rsidRDefault="00A15359" w:rsidP="001A1529">
      <w:pPr>
        <w:pStyle w:val="ListParagraph"/>
        <w:numPr>
          <w:ilvl w:val="1"/>
          <w:numId w:val="10"/>
        </w:numPr>
      </w:pPr>
      <w:r w:rsidRPr="00A15359">
        <w:t>CDFW scenarios</w:t>
      </w:r>
      <w:r w:rsidR="001A1529" w:rsidRPr="001A1529">
        <w:t xml:space="preserve"> </w:t>
      </w:r>
    </w:p>
    <w:p w:rsidR="001A1529" w:rsidRPr="00A15359" w:rsidRDefault="001A1529" w:rsidP="001A1529">
      <w:pPr>
        <w:pStyle w:val="ListParagraph"/>
        <w:numPr>
          <w:ilvl w:val="0"/>
          <w:numId w:val="10"/>
        </w:numPr>
      </w:pPr>
      <w:r>
        <w:t xml:space="preserve">Further optimize if possible </w:t>
      </w:r>
      <w:r w:rsidR="00F664AF">
        <w:t>with CDFW</w:t>
      </w:r>
    </w:p>
    <w:p w:rsidR="00A15359" w:rsidRDefault="001A1529" w:rsidP="00FB4033">
      <w:pPr>
        <w:pStyle w:val="ListParagraph"/>
        <w:numPr>
          <w:ilvl w:val="0"/>
          <w:numId w:val="10"/>
        </w:numPr>
      </w:pPr>
      <w:r>
        <w:t>A</w:t>
      </w:r>
      <w:r w:rsidRPr="00A15359">
        <w:t xml:space="preserve">cknowledge impacts and benefits </w:t>
      </w:r>
      <w:r>
        <w:t>to CDFW and e</w:t>
      </w:r>
      <w:r w:rsidR="00A15359" w:rsidRPr="00A15359">
        <w:t xml:space="preserve">ducate CDFW </w:t>
      </w:r>
      <w:r>
        <w:t xml:space="preserve">staff and management </w:t>
      </w:r>
      <w:r w:rsidR="00A15359" w:rsidRPr="00A15359">
        <w:t xml:space="preserve">about the rational for upstream protections and how they relate to downstream benefits and effects to areas they are concerned with (ITP) </w:t>
      </w:r>
    </w:p>
    <w:p w:rsidR="00F664AF" w:rsidRPr="00A15359" w:rsidRDefault="00F664AF" w:rsidP="00FB4033">
      <w:pPr>
        <w:pStyle w:val="ListParagraph"/>
        <w:numPr>
          <w:ilvl w:val="0"/>
          <w:numId w:val="10"/>
        </w:numPr>
      </w:pPr>
      <w:r>
        <w:t>Submit ITP and  brief ITP Negotiation Lead</w:t>
      </w:r>
    </w:p>
    <w:p w:rsidR="00A15359" w:rsidRPr="00A15359" w:rsidRDefault="00A15359" w:rsidP="00FB4033">
      <w:pPr>
        <w:pStyle w:val="ListParagraph"/>
        <w:numPr>
          <w:ilvl w:val="0"/>
          <w:numId w:val="10"/>
        </w:numPr>
      </w:pPr>
      <w:r w:rsidRPr="00A15359">
        <w:t xml:space="preserve">Elevate to CDFW </w:t>
      </w:r>
      <w:r w:rsidR="00F664AF">
        <w:t xml:space="preserve">management </w:t>
      </w:r>
      <w:r w:rsidRPr="00A15359">
        <w:t>to make a decision</w:t>
      </w:r>
      <w:r w:rsidR="00F664AF">
        <w:t xml:space="preserve"> </w:t>
      </w:r>
      <w:r w:rsidR="00F664AF" w:rsidRPr="00A15359">
        <w:t xml:space="preserve">(accept, reject or conditionally accept with revision) </w:t>
      </w:r>
      <w:r w:rsidR="00F664AF">
        <w:t>if staff have significant concerns and would resist permit</w:t>
      </w:r>
      <w:r w:rsidRPr="00A15359">
        <w:t xml:space="preserve"> based on benefits and effects not staff-proposed downstream criteria.</w:t>
      </w:r>
    </w:p>
    <w:p w:rsidR="00A15359" w:rsidRPr="00A15359" w:rsidRDefault="00F22703" w:rsidP="009D30F5">
      <w:r w:rsidRPr="00F22703">
        <w:rPr>
          <w:vertAlign w:val="superscript"/>
        </w:rPr>
        <w:t>1</w:t>
      </w:r>
      <w:r>
        <w:t>The order of these have been revised based on 7/14/20 discussion to reflect the need to define a project</w:t>
      </w:r>
      <w:r w:rsidR="004372EB">
        <w:t xml:space="preserve"> and is in the process of </w:t>
      </w:r>
      <w:r w:rsidR="004372EB" w:rsidRPr="00DA5678">
        <w:rPr>
          <w:u w:val="single"/>
        </w:rPr>
        <w:t>being further refined by ICF/Integration</w:t>
      </w:r>
      <w:r>
        <w:t xml:space="preserve"> </w:t>
      </w:r>
    </w:p>
    <w:p w:rsidR="001A1529" w:rsidRDefault="001A1529" w:rsidP="009D30F5">
      <w:pPr>
        <w:rPr>
          <w:b/>
        </w:rPr>
      </w:pPr>
    </w:p>
    <w:p w:rsidR="00A15359" w:rsidRDefault="00D7474D" w:rsidP="009D30F5">
      <w:pPr>
        <w:rPr>
          <w:b/>
        </w:rPr>
      </w:pPr>
      <w:r>
        <w:rPr>
          <w:b/>
        </w:rPr>
        <w:t xml:space="preserve">Notes </w:t>
      </w:r>
    </w:p>
    <w:p w:rsidR="00A15359" w:rsidRDefault="00A15359" w:rsidP="009D30F5"/>
    <w:p w:rsidR="00492646" w:rsidRDefault="00492646" w:rsidP="001A1529">
      <w:pPr>
        <w:pStyle w:val="ListParagraph"/>
        <w:numPr>
          <w:ilvl w:val="0"/>
          <w:numId w:val="11"/>
        </w:numPr>
      </w:pPr>
      <w:r>
        <w:t>Project’s range for deliverable water is 230k – 240k AF</w:t>
      </w:r>
      <w:r w:rsidR="00F22703">
        <w:t xml:space="preserve"> and </w:t>
      </w:r>
      <w:r w:rsidR="001A1529">
        <w:t xml:space="preserve">$650-$710 per AF without WIFIA or $600-660 with WIFIA loans. </w:t>
      </w:r>
    </w:p>
    <w:p w:rsidR="004D3024" w:rsidRDefault="004D3024" w:rsidP="004D3024">
      <w:pPr>
        <w:pStyle w:val="ListParagraph"/>
        <w:numPr>
          <w:ilvl w:val="0"/>
          <w:numId w:val="11"/>
        </w:numPr>
      </w:pPr>
      <w:r>
        <w:t>Breakdown of water allotment is as follows:</w:t>
      </w:r>
    </w:p>
    <w:tbl>
      <w:tblPr>
        <w:tblW w:w="7753" w:type="dxa"/>
        <w:tblInd w:w="1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00"/>
        <w:gridCol w:w="3553"/>
      </w:tblGrid>
      <w:tr w:rsidR="005F3346" w:rsidRPr="005F3346" w:rsidTr="005A6E23">
        <w:trPr>
          <w:trHeight w:val="421"/>
        </w:trPr>
        <w:tc>
          <w:tcPr>
            <w:tcW w:w="420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008E40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5F3346" w:rsidRPr="005F3346" w:rsidRDefault="005F3346" w:rsidP="004D3024">
            <w:pPr>
              <w:ind w:left="1080"/>
            </w:pPr>
            <w:r w:rsidRPr="00964B20">
              <w:rPr>
                <w:b/>
                <w:bCs/>
              </w:rPr>
              <w:t>Member</w:t>
            </w:r>
          </w:p>
        </w:tc>
        <w:tc>
          <w:tcPr>
            <w:tcW w:w="3553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008E40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5F3346" w:rsidRPr="005F3346" w:rsidRDefault="005F3346" w:rsidP="004D3024">
            <w:pPr>
              <w:ind w:left="1080"/>
            </w:pPr>
            <w:r w:rsidRPr="00964B20">
              <w:rPr>
                <w:b/>
                <w:bCs/>
              </w:rPr>
              <w:t>Reservoir Participation (AFY)</w:t>
            </w:r>
          </w:p>
        </w:tc>
      </w:tr>
      <w:tr w:rsidR="005F3346" w:rsidRPr="005F3346" w:rsidTr="005A6E23">
        <w:trPr>
          <w:trHeight w:val="198"/>
        </w:trPr>
        <w:tc>
          <w:tcPr>
            <w:tcW w:w="775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5F3346" w:rsidRPr="005F3346" w:rsidRDefault="005F3346" w:rsidP="00964B20">
            <w:pPr>
              <w:ind w:left="1080"/>
            </w:pPr>
            <w:r w:rsidRPr="00964B20">
              <w:rPr>
                <w:b/>
                <w:bCs/>
              </w:rPr>
              <w:t>Public Water Agencies </w:t>
            </w:r>
          </w:p>
        </w:tc>
      </w:tr>
      <w:tr w:rsidR="005F3346" w:rsidRPr="005F3346" w:rsidTr="005A6E23">
        <w:trPr>
          <w:trHeight w:val="198"/>
        </w:trPr>
        <w:tc>
          <w:tcPr>
            <w:tcW w:w="4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5F3346" w:rsidRPr="005F3346" w:rsidRDefault="005F3346" w:rsidP="005F3346">
            <w:pPr>
              <w:pStyle w:val="ListParagraph"/>
              <w:numPr>
                <w:ilvl w:val="1"/>
                <w:numId w:val="11"/>
              </w:numPr>
            </w:pPr>
            <w:r w:rsidRPr="005F3346">
              <w:t>North of Delta </w:t>
            </w:r>
          </w:p>
        </w:tc>
        <w:tc>
          <w:tcPr>
            <w:tcW w:w="35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5F3346" w:rsidRPr="005F3346" w:rsidRDefault="005F3346" w:rsidP="005F3346">
            <w:pPr>
              <w:pStyle w:val="ListParagraph"/>
              <w:numPr>
                <w:ilvl w:val="1"/>
                <w:numId w:val="11"/>
              </w:numPr>
            </w:pPr>
            <w:r w:rsidRPr="005F3346">
              <w:t>52,142 </w:t>
            </w:r>
          </w:p>
        </w:tc>
      </w:tr>
      <w:tr w:rsidR="005F3346" w:rsidRPr="005F3346" w:rsidTr="005A6E23">
        <w:trPr>
          <w:trHeight w:val="198"/>
        </w:trPr>
        <w:tc>
          <w:tcPr>
            <w:tcW w:w="4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5F3346" w:rsidRPr="005F3346" w:rsidRDefault="005F3346" w:rsidP="005F3346">
            <w:pPr>
              <w:pStyle w:val="ListParagraph"/>
              <w:numPr>
                <w:ilvl w:val="1"/>
                <w:numId w:val="11"/>
              </w:numPr>
            </w:pPr>
            <w:r w:rsidRPr="005F3346">
              <w:t>South of Delta </w:t>
            </w:r>
          </w:p>
        </w:tc>
        <w:tc>
          <w:tcPr>
            <w:tcW w:w="35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5F3346" w:rsidRPr="005F3346" w:rsidRDefault="005F3346" w:rsidP="005F3346">
            <w:pPr>
              <w:pStyle w:val="ListParagraph"/>
              <w:numPr>
                <w:ilvl w:val="1"/>
                <w:numId w:val="11"/>
              </w:numPr>
            </w:pPr>
            <w:r w:rsidRPr="005F3346">
              <w:t>140,750 </w:t>
            </w:r>
          </w:p>
        </w:tc>
      </w:tr>
      <w:tr w:rsidR="005F3346" w:rsidRPr="005F3346" w:rsidTr="005A6E23">
        <w:trPr>
          <w:trHeight w:val="198"/>
        </w:trPr>
        <w:tc>
          <w:tcPr>
            <w:tcW w:w="4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5F3346" w:rsidRPr="00964B20" w:rsidRDefault="005F3346" w:rsidP="00964B20">
            <w:pPr>
              <w:ind w:left="1080"/>
              <w:rPr>
                <w:i/>
              </w:rPr>
            </w:pPr>
            <w:r w:rsidRPr="00964B20">
              <w:rPr>
                <w:i/>
              </w:rPr>
              <w:t>Subtotal Public Water Agencies </w:t>
            </w:r>
          </w:p>
        </w:tc>
        <w:tc>
          <w:tcPr>
            <w:tcW w:w="35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5F3346" w:rsidRPr="00964B20" w:rsidRDefault="005F3346" w:rsidP="00964B20">
            <w:pPr>
              <w:ind w:left="1080"/>
              <w:rPr>
                <w:i/>
              </w:rPr>
            </w:pPr>
            <w:r w:rsidRPr="00964B20">
              <w:rPr>
                <w:i/>
              </w:rPr>
              <w:t>192,892 </w:t>
            </w:r>
          </w:p>
        </w:tc>
      </w:tr>
      <w:tr w:rsidR="005F3346" w:rsidRPr="005F3346" w:rsidTr="005A6E23">
        <w:trPr>
          <w:trHeight w:val="198"/>
        </w:trPr>
        <w:tc>
          <w:tcPr>
            <w:tcW w:w="4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5F3346" w:rsidRPr="00964B20" w:rsidRDefault="005F3346" w:rsidP="00964B20">
            <w:pPr>
              <w:ind w:left="1080"/>
              <w:rPr>
                <w:b/>
              </w:rPr>
            </w:pPr>
            <w:r w:rsidRPr="00964B20">
              <w:rPr>
                <w:b/>
              </w:rPr>
              <w:t>State of CA</w:t>
            </w:r>
          </w:p>
        </w:tc>
        <w:tc>
          <w:tcPr>
            <w:tcW w:w="35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5F3346" w:rsidRPr="005F3346" w:rsidRDefault="005F3346" w:rsidP="005F3346">
            <w:pPr>
              <w:pStyle w:val="ListParagraph"/>
              <w:numPr>
                <w:ilvl w:val="1"/>
                <w:numId w:val="11"/>
              </w:numPr>
            </w:pPr>
            <w:r w:rsidRPr="005F3346">
              <w:t>~ 40,000 </w:t>
            </w:r>
          </w:p>
        </w:tc>
      </w:tr>
      <w:tr w:rsidR="005F3346" w:rsidRPr="005F3346" w:rsidTr="005A6E23">
        <w:trPr>
          <w:trHeight w:val="198"/>
        </w:trPr>
        <w:tc>
          <w:tcPr>
            <w:tcW w:w="42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5F3346" w:rsidRPr="00964B20" w:rsidRDefault="005F3346" w:rsidP="00964B20">
            <w:pPr>
              <w:ind w:left="1080"/>
              <w:rPr>
                <w:b/>
              </w:rPr>
            </w:pPr>
            <w:r w:rsidRPr="00964B20">
              <w:rPr>
                <w:b/>
              </w:rPr>
              <w:t>Total Requirement </w:t>
            </w:r>
          </w:p>
        </w:tc>
        <w:tc>
          <w:tcPr>
            <w:tcW w:w="35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5F3346" w:rsidRPr="00964B20" w:rsidRDefault="005F3346" w:rsidP="005F3346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 w:rsidRPr="00964B20">
              <w:rPr>
                <w:b/>
              </w:rPr>
              <w:t>~230,000 </w:t>
            </w:r>
          </w:p>
        </w:tc>
      </w:tr>
    </w:tbl>
    <w:p w:rsidR="001A1529" w:rsidRDefault="005A6E23" w:rsidP="005F3346">
      <w:pPr>
        <w:pStyle w:val="ListParagraph"/>
        <w:numPr>
          <w:ilvl w:val="0"/>
          <w:numId w:val="11"/>
        </w:numPr>
      </w:pPr>
      <w:r>
        <w:t>DCR 2019 final in July</w:t>
      </w:r>
    </w:p>
    <w:p w:rsidR="005A6E23" w:rsidRDefault="005A6E23" w:rsidP="005F3346">
      <w:pPr>
        <w:pStyle w:val="ListParagraph"/>
        <w:numPr>
          <w:ilvl w:val="0"/>
          <w:numId w:val="11"/>
        </w:numPr>
      </w:pPr>
      <w:r>
        <w:t xml:space="preserve">DWR will use CalSim III for Delta Conveyance </w:t>
      </w:r>
    </w:p>
    <w:p w:rsidR="005A6E23" w:rsidRDefault="005A6E23" w:rsidP="005A6E23">
      <w:pPr>
        <w:pStyle w:val="ListParagraph"/>
        <w:numPr>
          <w:ilvl w:val="1"/>
          <w:numId w:val="11"/>
        </w:numPr>
      </w:pPr>
      <w:proofErr w:type="spellStart"/>
      <w:r>
        <w:t>Calsim</w:t>
      </w:r>
      <w:proofErr w:type="spellEnd"/>
      <w:r>
        <w:t xml:space="preserve"> III expected September 2020 </w:t>
      </w:r>
    </w:p>
    <w:p w:rsidR="00986BF0" w:rsidRDefault="00986BF0" w:rsidP="00986BF0">
      <w:pPr>
        <w:pStyle w:val="ListParagraph"/>
        <w:numPr>
          <w:ilvl w:val="0"/>
          <w:numId w:val="11"/>
        </w:numPr>
      </w:pPr>
      <w:r>
        <w:t xml:space="preserve">Los Vaqueros analysis is taking a different and non-compatible approach to ours. Details to come from additional discussions with Rob Leaf. </w:t>
      </w:r>
    </w:p>
    <w:p w:rsidR="00986BF0" w:rsidRDefault="00CF7D48" w:rsidP="00986BF0">
      <w:pPr>
        <w:pStyle w:val="ListParagraph"/>
        <w:numPr>
          <w:ilvl w:val="0"/>
          <w:numId w:val="11"/>
        </w:numPr>
      </w:pPr>
      <w:r>
        <w:lastRenderedPageBreak/>
        <w:t>Current Shasta coldwater pool sensitivity analysis (5/20/20) indicates that</w:t>
      </w:r>
      <w:r w:rsidRPr="00CF7D48">
        <w:t xml:space="preserve"> August and September</w:t>
      </w:r>
      <w:r>
        <w:t xml:space="preserve"> releases in </w:t>
      </w:r>
      <w:r w:rsidR="00F97C9F">
        <w:t>Tier 2 and 3 years</w:t>
      </w:r>
      <w:r>
        <w:t xml:space="preserve"> </w:t>
      </w:r>
      <w:r w:rsidR="00F97C9F">
        <w:t xml:space="preserve">that result from </w:t>
      </w:r>
      <w:r>
        <w:t>the exchanges c</w:t>
      </w:r>
      <w:r w:rsidRPr="00CF7D48">
        <w:t>ould, on average, decrease monthly average temperature at Sacramento River below Clear Creek (CCR) by up to 0.4 degrees Fahrenheit in August and September. This decrease in temperature would, on average, reduce temperature-based egg mortality by about 5%</w:t>
      </w:r>
      <w:r w:rsidR="00F97C9F">
        <w:t xml:space="preserve"> in those years</w:t>
      </w:r>
      <w:r w:rsidRPr="00CF7D48">
        <w:t xml:space="preserve">. </w:t>
      </w:r>
      <w:r w:rsidR="00D522E7">
        <w:t xml:space="preserve">(memo </w:t>
      </w:r>
      <w:r w:rsidR="00986BF0">
        <w:t xml:space="preserve">here: </w:t>
      </w:r>
      <w:hyperlink r:id="rId13" w:history="1">
        <w:r w:rsidR="00986BF0" w:rsidRPr="004B7295">
          <w:rPr>
            <w:rStyle w:val="Hyperlink"/>
          </w:rPr>
          <w:t>https://sitesreservoirproject.sharepoint.com/:f:/r/envpermitting/Data%20and%20Background%20Information/Operations%20Modeling%20Documents?csf=1&amp;web=1&amp;e=gMCTLu</w:t>
        </w:r>
      </w:hyperlink>
    </w:p>
    <w:p w:rsidR="00CF7D48" w:rsidRPr="00CF7D48" w:rsidRDefault="00CF7D48" w:rsidP="00CF7D48">
      <w:pPr>
        <w:pStyle w:val="ListParagraph"/>
        <w:numPr>
          <w:ilvl w:val="1"/>
          <w:numId w:val="11"/>
        </w:numPr>
        <w:rPr>
          <w:b/>
        </w:rPr>
      </w:pPr>
      <w:r w:rsidRPr="00CF7D48">
        <w:rPr>
          <w:b/>
        </w:rPr>
        <w:t>Sites Benefits to ROC on LTO Cold Water Pool Management</w:t>
      </w:r>
      <w:r w:rsidR="00986BF0">
        <w:rPr>
          <w:b/>
        </w:rPr>
        <w:t xml:space="preserve"> Summary</w:t>
      </w:r>
    </w:p>
    <w:p w:rsidR="00CF7D48" w:rsidRDefault="00CF7D48" w:rsidP="00CF7D48">
      <w:pPr>
        <w:pStyle w:val="ListParagraph"/>
        <w:numPr>
          <w:ilvl w:val="2"/>
          <w:numId w:val="11"/>
        </w:numPr>
      </w:pPr>
      <w:r>
        <w:t>Tier 1 years:</w:t>
      </w:r>
    </w:p>
    <w:p w:rsidR="00CF7D48" w:rsidRDefault="00CF7D48" w:rsidP="00CF7D48">
      <w:pPr>
        <w:pStyle w:val="ListParagraph"/>
        <w:numPr>
          <w:ilvl w:val="3"/>
          <w:numId w:val="11"/>
        </w:numPr>
      </w:pPr>
      <w:r>
        <w:t>No benefit</w:t>
      </w:r>
    </w:p>
    <w:p w:rsidR="00CF7D48" w:rsidRDefault="00CF7D48" w:rsidP="00CF7D48">
      <w:pPr>
        <w:pStyle w:val="ListParagraph"/>
        <w:numPr>
          <w:ilvl w:val="2"/>
          <w:numId w:val="11"/>
        </w:numPr>
      </w:pPr>
      <w:r>
        <w:t>Tier 2 years:</w:t>
      </w:r>
    </w:p>
    <w:p w:rsidR="00CF7D48" w:rsidRDefault="00CF7D48" w:rsidP="00CF7D48">
      <w:pPr>
        <w:pStyle w:val="ListParagraph"/>
        <w:numPr>
          <w:ilvl w:val="3"/>
          <w:numId w:val="11"/>
        </w:numPr>
      </w:pPr>
      <w:r>
        <w:t>Decreasing releases in April through June could preserve Shasta cold water pool for more targeted release in the hatching period (described above).</w:t>
      </w:r>
    </w:p>
    <w:p w:rsidR="00CF7D48" w:rsidRDefault="00CF7D48" w:rsidP="00CF7D48">
      <w:pPr>
        <w:pStyle w:val="ListParagraph"/>
        <w:numPr>
          <w:ilvl w:val="2"/>
          <w:numId w:val="11"/>
        </w:numPr>
      </w:pPr>
      <w:r>
        <w:t>Tier 3 years:</w:t>
      </w:r>
    </w:p>
    <w:p w:rsidR="00CF7D48" w:rsidRDefault="00CF7D48" w:rsidP="00CF7D48">
      <w:pPr>
        <w:pStyle w:val="ListParagraph"/>
        <w:numPr>
          <w:ilvl w:val="3"/>
          <w:numId w:val="11"/>
        </w:numPr>
      </w:pPr>
      <w:r>
        <w:t xml:space="preserve">Decreasing releases in April through </w:t>
      </w:r>
      <w:r w:rsidR="00986BF0">
        <w:t>June could</w:t>
      </w:r>
      <w:r>
        <w:t xml:space="preserve"> preserve Shasta cold water pool for more targeted release in the hatching period (described above).</w:t>
      </w:r>
    </w:p>
    <w:p w:rsidR="00CF7D48" w:rsidRDefault="00CF7D48" w:rsidP="00CF7D48">
      <w:pPr>
        <w:pStyle w:val="ListParagraph"/>
        <w:numPr>
          <w:ilvl w:val="2"/>
          <w:numId w:val="11"/>
        </w:numPr>
      </w:pPr>
      <w:r>
        <w:t>Tier 4 years:</w:t>
      </w:r>
    </w:p>
    <w:p w:rsidR="00CF7D48" w:rsidRDefault="00CF7D48" w:rsidP="00CF7D48">
      <w:pPr>
        <w:pStyle w:val="ListParagraph"/>
        <w:numPr>
          <w:ilvl w:val="3"/>
          <w:numId w:val="11"/>
        </w:numPr>
      </w:pPr>
      <w:r>
        <w:t xml:space="preserve">Little benefit </w:t>
      </w:r>
      <w:r w:rsidR="00D522E7">
        <w:t>–</w:t>
      </w:r>
      <w:r>
        <w:t xml:space="preserve"> On its own, Sites could not benefit Shasta cold water pool in an appreciable manner. In combination with intervention measures, Sites may prove beneficial.</w:t>
      </w:r>
    </w:p>
    <w:p w:rsidR="00CF7D48" w:rsidRDefault="00D522E7" w:rsidP="00D522E7">
      <w:pPr>
        <w:pStyle w:val="ListParagraph"/>
        <w:numPr>
          <w:ilvl w:val="0"/>
          <w:numId w:val="11"/>
        </w:numPr>
      </w:pPr>
      <w:r>
        <w:t xml:space="preserve">Jacobs is currently working on modeling the project with and without federal investment. </w:t>
      </w:r>
    </w:p>
    <w:p w:rsidR="00D522E7" w:rsidRDefault="00986BF0" w:rsidP="008853FD">
      <w:pPr>
        <w:pStyle w:val="ListParagraph"/>
        <w:numPr>
          <w:ilvl w:val="0"/>
          <w:numId w:val="11"/>
        </w:numPr>
      </w:pPr>
      <w:r>
        <w:t xml:space="preserve">Approach to Sites current modeling analysis needs to take into account project time/schedule requirements. This necessitates some </w:t>
      </w:r>
      <w:r w:rsidR="00F30823">
        <w:t xml:space="preserve">up-front planning for what biological protections should be included in the initial screening analysis and then carried through to the initial full modeling run. The following are items that </w:t>
      </w:r>
      <w:r w:rsidR="001F3439">
        <w:t xml:space="preserve">could be </w:t>
      </w:r>
      <w:r w:rsidR="00F30823">
        <w:t>considered for the initial screening analysis:</w:t>
      </w:r>
    </w:p>
    <w:p w:rsidR="00F30823" w:rsidRDefault="00F30823" w:rsidP="00F30823">
      <w:pPr>
        <w:pStyle w:val="ListParagraph"/>
        <w:numPr>
          <w:ilvl w:val="1"/>
          <w:numId w:val="11"/>
        </w:numPr>
      </w:pPr>
      <w:r>
        <w:t xml:space="preserve">Reasonably Foreseeable Actions </w:t>
      </w:r>
      <w:r w:rsidR="004B02AC">
        <w:t>and/or Protections</w:t>
      </w:r>
      <w:r w:rsidR="00043DB1">
        <w:t xml:space="preserve"> to include in initial screening</w:t>
      </w:r>
      <w:r w:rsidR="00DA5678">
        <w:t xml:space="preserve">. These would have a draft CEQA or NEPA document or part of a BO or ITP that </w:t>
      </w:r>
      <w:r w:rsidR="001F3439">
        <w:t>(</w:t>
      </w:r>
      <w:r w:rsidR="001F3439" w:rsidRPr="00591A1E">
        <w:rPr>
          <w:highlight w:val="yellow"/>
        </w:rPr>
        <w:t>open for discussion</w:t>
      </w:r>
      <w:r w:rsidR="001F3439">
        <w:t>)</w:t>
      </w:r>
      <w:r w:rsidR="00043DB1">
        <w:t>:</w:t>
      </w:r>
    </w:p>
    <w:p w:rsidR="00F30823" w:rsidRDefault="00F30823" w:rsidP="00F30823">
      <w:pPr>
        <w:pStyle w:val="ListParagraph"/>
        <w:numPr>
          <w:ilvl w:val="2"/>
          <w:numId w:val="11"/>
        </w:numPr>
      </w:pPr>
      <w:r>
        <w:t xml:space="preserve">Fremont Weir </w:t>
      </w:r>
      <w:r w:rsidR="00591A1E">
        <w:t>Notch</w:t>
      </w:r>
    </w:p>
    <w:p w:rsidR="004B02AC" w:rsidRDefault="004B02AC" w:rsidP="004B02AC">
      <w:pPr>
        <w:pStyle w:val="ListParagraph"/>
        <w:numPr>
          <w:ilvl w:val="3"/>
          <w:numId w:val="11"/>
        </w:numPr>
      </w:pPr>
      <w:r>
        <w:t>Effect to habitat</w:t>
      </w:r>
      <w:r w:rsidR="00591A1E">
        <w:t xml:space="preserve"> (timing and duration of inundation)</w:t>
      </w:r>
    </w:p>
    <w:p w:rsidR="00F30823" w:rsidRDefault="00F30823" w:rsidP="00F30823">
      <w:pPr>
        <w:pStyle w:val="ListParagraph"/>
        <w:numPr>
          <w:ilvl w:val="2"/>
          <w:numId w:val="11"/>
        </w:numPr>
      </w:pPr>
      <w:r>
        <w:t>Delta Conveyance Project</w:t>
      </w:r>
      <w:r w:rsidR="00DA5678">
        <w:t>/Water Fix(WF has Draft EIR)</w:t>
      </w:r>
    </w:p>
    <w:p w:rsidR="00F30823" w:rsidRDefault="004B02AC" w:rsidP="00F30823">
      <w:pPr>
        <w:pStyle w:val="ListParagraph"/>
        <w:numPr>
          <w:ilvl w:val="2"/>
          <w:numId w:val="11"/>
        </w:numPr>
      </w:pPr>
      <w:r>
        <w:t xml:space="preserve">VA’s </w:t>
      </w:r>
    </w:p>
    <w:p w:rsidR="00591A1E" w:rsidRDefault="004B02AC" w:rsidP="00194963">
      <w:pPr>
        <w:pStyle w:val="ListParagraph"/>
        <w:numPr>
          <w:ilvl w:val="2"/>
          <w:numId w:val="11"/>
        </w:numPr>
      </w:pPr>
      <w:r>
        <w:t xml:space="preserve">Wilkins </w:t>
      </w:r>
      <w:r w:rsidR="00DA5678">
        <w:t>Slough</w:t>
      </w:r>
      <w:r w:rsidR="001F3439">
        <w:t xml:space="preserve"> </w:t>
      </w:r>
      <w:r w:rsidRPr="001F3439">
        <w:rPr>
          <w:highlight w:val="yellow"/>
        </w:rPr>
        <w:t>8,000 April/May</w:t>
      </w:r>
      <w:r>
        <w:t>)</w:t>
      </w:r>
    </w:p>
    <w:p w:rsidR="001F3439" w:rsidRDefault="001F3439" w:rsidP="00194963">
      <w:pPr>
        <w:pStyle w:val="ListParagraph"/>
        <w:numPr>
          <w:ilvl w:val="2"/>
          <w:numId w:val="11"/>
        </w:numPr>
      </w:pPr>
      <w:r>
        <w:t>Fish Screen Limitations</w:t>
      </w:r>
    </w:p>
    <w:p w:rsidR="004B02AC" w:rsidRDefault="00591A1E" w:rsidP="00F30823">
      <w:pPr>
        <w:pStyle w:val="ListParagraph"/>
        <w:numPr>
          <w:ilvl w:val="2"/>
          <w:numId w:val="11"/>
        </w:numPr>
      </w:pPr>
      <w:r w:rsidRPr="001F3439">
        <w:t>Others</w:t>
      </w:r>
    </w:p>
    <w:p w:rsidR="004B02AC" w:rsidRDefault="004B02AC" w:rsidP="004B02AC">
      <w:pPr>
        <w:pStyle w:val="ListParagraph"/>
        <w:numPr>
          <w:ilvl w:val="1"/>
          <w:numId w:val="11"/>
        </w:numPr>
      </w:pPr>
      <w:r>
        <w:t xml:space="preserve">Other Actions related </w:t>
      </w:r>
      <w:r w:rsidR="00591A1E">
        <w:t>to</w:t>
      </w:r>
      <w:r w:rsidR="00043DB1">
        <w:t>,</w:t>
      </w:r>
      <w:r w:rsidR="00591A1E">
        <w:t xml:space="preserve"> </w:t>
      </w:r>
      <w:r>
        <w:t>but not included in the initial screening analyses</w:t>
      </w:r>
      <w:r w:rsidR="00043DB1">
        <w:t xml:space="preserve"> that could be included at a later date</w:t>
      </w:r>
      <w:r w:rsidR="00591A1E">
        <w:t xml:space="preserve"> (</w:t>
      </w:r>
      <w:r w:rsidR="00591A1E" w:rsidRPr="00591A1E">
        <w:rPr>
          <w:highlight w:val="yellow"/>
        </w:rPr>
        <w:t>open for discussion</w:t>
      </w:r>
      <w:r w:rsidR="00591A1E">
        <w:t>)</w:t>
      </w:r>
    </w:p>
    <w:p w:rsidR="004B02AC" w:rsidRDefault="004B02AC" w:rsidP="004B02AC">
      <w:pPr>
        <w:pStyle w:val="ListParagraph"/>
        <w:numPr>
          <w:ilvl w:val="2"/>
          <w:numId w:val="11"/>
        </w:numPr>
      </w:pPr>
      <w:r>
        <w:t>Sutter Bypass protections</w:t>
      </w:r>
    </w:p>
    <w:p w:rsidR="004B02AC" w:rsidRDefault="004B02AC" w:rsidP="004B02AC">
      <w:pPr>
        <w:pStyle w:val="ListParagraph"/>
        <w:numPr>
          <w:ilvl w:val="3"/>
          <w:numId w:val="11"/>
        </w:numPr>
      </w:pPr>
      <w:r>
        <w:t>Flow over weirs: Tisdale, Mo</w:t>
      </w:r>
      <w:r w:rsidR="00591A1E">
        <w:t>u</w:t>
      </w:r>
      <w:r>
        <w:t xml:space="preserve">lton, Colusa, </w:t>
      </w:r>
      <w:proofErr w:type="spellStart"/>
      <w:r>
        <w:t>etc</w:t>
      </w:r>
      <w:proofErr w:type="spellEnd"/>
      <w:r>
        <w:t xml:space="preserve">, </w:t>
      </w:r>
    </w:p>
    <w:p w:rsidR="00590BE6" w:rsidRDefault="00590BE6" w:rsidP="004B02AC">
      <w:pPr>
        <w:pStyle w:val="ListParagraph"/>
        <w:numPr>
          <w:ilvl w:val="3"/>
          <w:numId w:val="11"/>
        </w:numPr>
      </w:pPr>
      <w:r>
        <w:t>Changes to timing and duration of inundation</w:t>
      </w:r>
    </w:p>
    <w:p w:rsidR="00591A1E" w:rsidRDefault="00591A1E" w:rsidP="004B02AC">
      <w:pPr>
        <w:pStyle w:val="ListParagraph"/>
        <w:numPr>
          <w:ilvl w:val="2"/>
          <w:numId w:val="11"/>
        </w:numPr>
      </w:pPr>
      <w:r>
        <w:t>Pulse Protections</w:t>
      </w:r>
    </w:p>
    <w:p w:rsidR="001F3439" w:rsidRDefault="001F3439" w:rsidP="004B02AC">
      <w:pPr>
        <w:pStyle w:val="ListParagraph"/>
        <w:numPr>
          <w:ilvl w:val="2"/>
          <w:numId w:val="11"/>
        </w:numPr>
      </w:pPr>
      <w:r>
        <w:t>Scaled diversion at Red Bluff and Hamilton City</w:t>
      </w:r>
    </w:p>
    <w:p w:rsidR="00492646" w:rsidRDefault="00DA5678" w:rsidP="00DA5678">
      <w:pPr>
        <w:pStyle w:val="ListParagraph"/>
        <w:numPr>
          <w:ilvl w:val="0"/>
          <w:numId w:val="11"/>
        </w:numPr>
      </w:pPr>
      <w:r>
        <w:t xml:space="preserve">Federal Investment is still undetermined and Jacobs is working on a model with and without federal investment. </w:t>
      </w:r>
    </w:p>
    <w:p w:rsidR="00DA5678" w:rsidRDefault="00DA5678" w:rsidP="00DA5678">
      <w:pPr>
        <w:pStyle w:val="ListParagraph"/>
        <w:numPr>
          <w:ilvl w:val="0"/>
          <w:numId w:val="11"/>
        </w:numPr>
      </w:pPr>
      <w:r>
        <w:t xml:space="preserve">Jacobs also has a model that can vary flows at each Sutter weirs should we wish to use that. </w:t>
      </w:r>
    </w:p>
    <w:p w:rsidR="00492646" w:rsidRDefault="00492646" w:rsidP="009D30F5"/>
    <w:p w:rsidR="00492646" w:rsidRPr="00492646" w:rsidRDefault="00492646" w:rsidP="009D30F5"/>
    <w:p w:rsidR="00A15359" w:rsidRDefault="00A15359" w:rsidP="009D30F5">
      <w:pPr>
        <w:rPr>
          <w:b/>
        </w:rPr>
      </w:pPr>
    </w:p>
    <w:p w:rsidR="00A15359" w:rsidRDefault="00A15359" w:rsidP="009D30F5">
      <w:pPr>
        <w:rPr>
          <w:b/>
        </w:rPr>
      </w:pPr>
    </w:p>
    <w:p w:rsidR="00DA2D80" w:rsidRPr="00564036" w:rsidRDefault="00DA2D80" w:rsidP="009D30F5">
      <w:pPr>
        <w:rPr>
          <w:b/>
        </w:rPr>
      </w:pPr>
    </w:p>
    <w:sectPr w:rsidR="00DA2D80" w:rsidRPr="00564036" w:rsidSect="009265BA">
      <w:headerReference w:type="default" r:id="rId14"/>
      <w:pgSz w:w="12240" w:h="15840" w:code="1"/>
      <w:pgMar w:top="245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6D" w:rsidRDefault="00BA616D" w:rsidP="009C4219">
      <w:r>
        <w:separator/>
      </w:r>
    </w:p>
  </w:endnote>
  <w:endnote w:type="continuationSeparator" w:id="0">
    <w:p w:rsidR="00BA616D" w:rsidRDefault="00BA616D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6D" w:rsidRDefault="00BA616D" w:rsidP="009C4219">
      <w:r>
        <w:separator/>
      </w:r>
    </w:p>
  </w:footnote>
  <w:footnote w:type="continuationSeparator" w:id="0">
    <w:p w:rsidR="00BA616D" w:rsidRDefault="00BA616D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8E0D75" wp14:editId="53A709F5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8E0D75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:rsidR="00F73CBF" w:rsidRDefault="00F73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5CB8"/>
    <w:multiLevelType w:val="hybridMultilevel"/>
    <w:tmpl w:val="94E0DD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C5F50"/>
    <w:multiLevelType w:val="hybridMultilevel"/>
    <w:tmpl w:val="B96612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5" w15:restartNumberingAfterBreak="0">
    <w:nsid w:val="2AC7456E"/>
    <w:multiLevelType w:val="hybridMultilevel"/>
    <w:tmpl w:val="E60A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D1CD5"/>
    <w:multiLevelType w:val="hybridMultilevel"/>
    <w:tmpl w:val="3F168FC6"/>
    <w:lvl w:ilvl="0" w:tplc="D344967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55834"/>
    <w:multiLevelType w:val="hybridMultilevel"/>
    <w:tmpl w:val="1492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044"/>
    <w:multiLevelType w:val="hybridMultilevel"/>
    <w:tmpl w:val="A28A0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F16DCF"/>
    <w:multiLevelType w:val="hybridMultilevel"/>
    <w:tmpl w:val="EC5A0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66916"/>
    <w:multiLevelType w:val="hybridMultilevel"/>
    <w:tmpl w:val="682A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0155F"/>
    <w:rsid w:val="000123AD"/>
    <w:rsid w:val="00025E3A"/>
    <w:rsid w:val="00032995"/>
    <w:rsid w:val="00035139"/>
    <w:rsid w:val="00037848"/>
    <w:rsid w:val="00037F2A"/>
    <w:rsid w:val="00043DB1"/>
    <w:rsid w:val="0004623B"/>
    <w:rsid w:val="00046368"/>
    <w:rsid w:val="00047203"/>
    <w:rsid w:val="000602B5"/>
    <w:rsid w:val="00071883"/>
    <w:rsid w:val="0008528A"/>
    <w:rsid w:val="00092752"/>
    <w:rsid w:val="00092F84"/>
    <w:rsid w:val="000A32D4"/>
    <w:rsid w:val="000A391D"/>
    <w:rsid w:val="000B61D8"/>
    <w:rsid w:val="000B6ADD"/>
    <w:rsid w:val="000D2A6E"/>
    <w:rsid w:val="000D2C08"/>
    <w:rsid w:val="000D5BDD"/>
    <w:rsid w:val="000D68FA"/>
    <w:rsid w:val="000F2F2F"/>
    <w:rsid w:val="001039A5"/>
    <w:rsid w:val="00105F6E"/>
    <w:rsid w:val="00105FF7"/>
    <w:rsid w:val="00110B5D"/>
    <w:rsid w:val="00117B3D"/>
    <w:rsid w:val="00117F58"/>
    <w:rsid w:val="00122FC0"/>
    <w:rsid w:val="00140812"/>
    <w:rsid w:val="001470C2"/>
    <w:rsid w:val="0015007A"/>
    <w:rsid w:val="00152E74"/>
    <w:rsid w:val="00167A54"/>
    <w:rsid w:val="00173468"/>
    <w:rsid w:val="0017759E"/>
    <w:rsid w:val="00180BC8"/>
    <w:rsid w:val="00186E0E"/>
    <w:rsid w:val="00195DA7"/>
    <w:rsid w:val="00196C7D"/>
    <w:rsid w:val="00197C40"/>
    <w:rsid w:val="001A1529"/>
    <w:rsid w:val="001B34F3"/>
    <w:rsid w:val="001B780A"/>
    <w:rsid w:val="001C1C3F"/>
    <w:rsid w:val="001E03D2"/>
    <w:rsid w:val="001F1B8A"/>
    <w:rsid w:val="001F3439"/>
    <w:rsid w:val="001F439A"/>
    <w:rsid w:val="001F4F58"/>
    <w:rsid w:val="001F7D70"/>
    <w:rsid w:val="002022E9"/>
    <w:rsid w:val="002154FE"/>
    <w:rsid w:val="00242622"/>
    <w:rsid w:val="0025077E"/>
    <w:rsid w:val="00257325"/>
    <w:rsid w:val="0026069F"/>
    <w:rsid w:val="00294C3B"/>
    <w:rsid w:val="00295B57"/>
    <w:rsid w:val="002B607C"/>
    <w:rsid w:val="002C06D3"/>
    <w:rsid w:val="002C42E3"/>
    <w:rsid w:val="002D3BF3"/>
    <w:rsid w:val="002D6BBA"/>
    <w:rsid w:val="002E0234"/>
    <w:rsid w:val="002F1F2C"/>
    <w:rsid w:val="00302D73"/>
    <w:rsid w:val="0030770F"/>
    <w:rsid w:val="00312754"/>
    <w:rsid w:val="00332000"/>
    <w:rsid w:val="00342486"/>
    <w:rsid w:val="00355777"/>
    <w:rsid w:val="00356D3F"/>
    <w:rsid w:val="00361E97"/>
    <w:rsid w:val="00371F96"/>
    <w:rsid w:val="00380300"/>
    <w:rsid w:val="00395AC4"/>
    <w:rsid w:val="003A134B"/>
    <w:rsid w:val="003A2521"/>
    <w:rsid w:val="003A2D65"/>
    <w:rsid w:val="003A5CC4"/>
    <w:rsid w:val="003F70C1"/>
    <w:rsid w:val="003F7A86"/>
    <w:rsid w:val="00414DE5"/>
    <w:rsid w:val="00420AFF"/>
    <w:rsid w:val="00421054"/>
    <w:rsid w:val="004372EB"/>
    <w:rsid w:val="00451440"/>
    <w:rsid w:val="004726A0"/>
    <w:rsid w:val="00473DBE"/>
    <w:rsid w:val="00480D8C"/>
    <w:rsid w:val="004909BD"/>
    <w:rsid w:val="00492646"/>
    <w:rsid w:val="004956D8"/>
    <w:rsid w:val="004A4198"/>
    <w:rsid w:val="004B02AC"/>
    <w:rsid w:val="004B671B"/>
    <w:rsid w:val="004C7B39"/>
    <w:rsid w:val="004D3024"/>
    <w:rsid w:val="004D7101"/>
    <w:rsid w:val="004E6E53"/>
    <w:rsid w:val="00500E03"/>
    <w:rsid w:val="00511F20"/>
    <w:rsid w:val="00513D68"/>
    <w:rsid w:val="005200FD"/>
    <w:rsid w:val="00523DE1"/>
    <w:rsid w:val="00525C1C"/>
    <w:rsid w:val="005311DB"/>
    <w:rsid w:val="0054119F"/>
    <w:rsid w:val="00552206"/>
    <w:rsid w:val="005615A9"/>
    <w:rsid w:val="00561D83"/>
    <w:rsid w:val="00564036"/>
    <w:rsid w:val="00580BA7"/>
    <w:rsid w:val="00590BE6"/>
    <w:rsid w:val="00590BE9"/>
    <w:rsid w:val="005913F5"/>
    <w:rsid w:val="00591A1E"/>
    <w:rsid w:val="005A5CCD"/>
    <w:rsid w:val="005A6E23"/>
    <w:rsid w:val="005C7FEB"/>
    <w:rsid w:val="005D1B6E"/>
    <w:rsid w:val="005E0B15"/>
    <w:rsid w:val="005E601C"/>
    <w:rsid w:val="005F3346"/>
    <w:rsid w:val="005F3F32"/>
    <w:rsid w:val="005F4009"/>
    <w:rsid w:val="005F547B"/>
    <w:rsid w:val="00602FD7"/>
    <w:rsid w:val="00604493"/>
    <w:rsid w:val="00612AA3"/>
    <w:rsid w:val="00623569"/>
    <w:rsid w:val="00625BE4"/>
    <w:rsid w:val="0063349B"/>
    <w:rsid w:val="006523E6"/>
    <w:rsid w:val="0065677B"/>
    <w:rsid w:val="006668F8"/>
    <w:rsid w:val="006725F6"/>
    <w:rsid w:val="0067743E"/>
    <w:rsid w:val="00684C0C"/>
    <w:rsid w:val="00693724"/>
    <w:rsid w:val="006A7B07"/>
    <w:rsid w:val="006B0940"/>
    <w:rsid w:val="006B496B"/>
    <w:rsid w:val="006B5618"/>
    <w:rsid w:val="006B5FB8"/>
    <w:rsid w:val="006B7CCE"/>
    <w:rsid w:val="006C690C"/>
    <w:rsid w:val="006D6F35"/>
    <w:rsid w:val="00701235"/>
    <w:rsid w:val="00714D24"/>
    <w:rsid w:val="0072743F"/>
    <w:rsid w:val="007335E0"/>
    <w:rsid w:val="00735FB8"/>
    <w:rsid w:val="0075682C"/>
    <w:rsid w:val="00762F02"/>
    <w:rsid w:val="007679C9"/>
    <w:rsid w:val="00772284"/>
    <w:rsid w:val="00775F9C"/>
    <w:rsid w:val="00780B75"/>
    <w:rsid w:val="00785072"/>
    <w:rsid w:val="007929F1"/>
    <w:rsid w:val="007A10DF"/>
    <w:rsid w:val="007A1297"/>
    <w:rsid w:val="007A39C8"/>
    <w:rsid w:val="007A6501"/>
    <w:rsid w:val="007B0DEF"/>
    <w:rsid w:val="007B42F7"/>
    <w:rsid w:val="007B5F6A"/>
    <w:rsid w:val="007C1641"/>
    <w:rsid w:val="007C406F"/>
    <w:rsid w:val="007D4B9E"/>
    <w:rsid w:val="007D6E64"/>
    <w:rsid w:val="007E54B5"/>
    <w:rsid w:val="007E75CD"/>
    <w:rsid w:val="00805313"/>
    <w:rsid w:val="00811B79"/>
    <w:rsid w:val="00811F45"/>
    <w:rsid w:val="00823681"/>
    <w:rsid w:val="00825798"/>
    <w:rsid w:val="008258AB"/>
    <w:rsid w:val="008375E7"/>
    <w:rsid w:val="00853A43"/>
    <w:rsid w:val="008545F6"/>
    <w:rsid w:val="00864CA7"/>
    <w:rsid w:val="00875DA6"/>
    <w:rsid w:val="008809E6"/>
    <w:rsid w:val="00886428"/>
    <w:rsid w:val="00891C15"/>
    <w:rsid w:val="008A1365"/>
    <w:rsid w:val="008A2AC6"/>
    <w:rsid w:val="008A30E1"/>
    <w:rsid w:val="008A604C"/>
    <w:rsid w:val="008A6FAD"/>
    <w:rsid w:val="008C2059"/>
    <w:rsid w:val="008D17AF"/>
    <w:rsid w:val="008D43F5"/>
    <w:rsid w:val="008F57A3"/>
    <w:rsid w:val="008F613A"/>
    <w:rsid w:val="008F6CA2"/>
    <w:rsid w:val="00915482"/>
    <w:rsid w:val="00922890"/>
    <w:rsid w:val="009265BA"/>
    <w:rsid w:val="00931549"/>
    <w:rsid w:val="00936DDB"/>
    <w:rsid w:val="0094343A"/>
    <w:rsid w:val="009548D1"/>
    <w:rsid w:val="00964B20"/>
    <w:rsid w:val="009851FA"/>
    <w:rsid w:val="00986BF0"/>
    <w:rsid w:val="00987E25"/>
    <w:rsid w:val="0099522A"/>
    <w:rsid w:val="009A5409"/>
    <w:rsid w:val="009C4219"/>
    <w:rsid w:val="009D01C7"/>
    <w:rsid w:val="009D30F5"/>
    <w:rsid w:val="009D5211"/>
    <w:rsid w:val="009E5B29"/>
    <w:rsid w:val="009F080F"/>
    <w:rsid w:val="009F234D"/>
    <w:rsid w:val="009F3375"/>
    <w:rsid w:val="009F40EE"/>
    <w:rsid w:val="00A03302"/>
    <w:rsid w:val="00A061B1"/>
    <w:rsid w:val="00A10967"/>
    <w:rsid w:val="00A116E3"/>
    <w:rsid w:val="00A15359"/>
    <w:rsid w:val="00A41EAB"/>
    <w:rsid w:val="00A42809"/>
    <w:rsid w:val="00A6254B"/>
    <w:rsid w:val="00A674EB"/>
    <w:rsid w:val="00A6767A"/>
    <w:rsid w:val="00A71256"/>
    <w:rsid w:val="00A744B5"/>
    <w:rsid w:val="00A77AA2"/>
    <w:rsid w:val="00A87ACA"/>
    <w:rsid w:val="00AA5624"/>
    <w:rsid w:val="00AA7654"/>
    <w:rsid w:val="00AB3283"/>
    <w:rsid w:val="00AC234E"/>
    <w:rsid w:val="00AD22EC"/>
    <w:rsid w:val="00AE4F56"/>
    <w:rsid w:val="00AF5D9F"/>
    <w:rsid w:val="00AF783F"/>
    <w:rsid w:val="00B07945"/>
    <w:rsid w:val="00B12A48"/>
    <w:rsid w:val="00B41BAB"/>
    <w:rsid w:val="00B5737B"/>
    <w:rsid w:val="00B711DF"/>
    <w:rsid w:val="00B721AF"/>
    <w:rsid w:val="00B73436"/>
    <w:rsid w:val="00B87E16"/>
    <w:rsid w:val="00B9402A"/>
    <w:rsid w:val="00B94435"/>
    <w:rsid w:val="00B95556"/>
    <w:rsid w:val="00BA0712"/>
    <w:rsid w:val="00BA26E5"/>
    <w:rsid w:val="00BA616D"/>
    <w:rsid w:val="00BA6F31"/>
    <w:rsid w:val="00BB7905"/>
    <w:rsid w:val="00BE3E4C"/>
    <w:rsid w:val="00BF565E"/>
    <w:rsid w:val="00C00FB1"/>
    <w:rsid w:val="00C20FFD"/>
    <w:rsid w:val="00C37B45"/>
    <w:rsid w:val="00C44ECA"/>
    <w:rsid w:val="00C723AD"/>
    <w:rsid w:val="00C74D70"/>
    <w:rsid w:val="00C81A6B"/>
    <w:rsid w:val="00C81C80"/>
    <w:rsid w:val="00C8642A"/>
    <w:rsid w:val="00C94AEA"/>
    <w:rsid w:val="00CA27F2"/>
    <w:rsid w:val="00CA7B4B"/>
    <w:rsid w:val="00CC0F55"/>
    <w:rsid w:val="00CC465D"/>
    <w:rsid w:val="00CD0FD4"/>
    <w:rsid w:val="00CD6710"/>
    <w:rsid w:val="00CE459D"/>
    <w:rsid w:val="00CE7951"/>
    <w:rsid w:val="00CF7D48"/>
    <w:rsid w:val="00D1238C"/>
    <w:rsid w:val="00D15C6B"/>
    <w:rsid w:val="00D17DC5"/>
    <w:rsid w:val="00D21664"/>
    <w:rsid w:val="00D24A0A"/>
    <w:rsid w:val="00D3611A"/>
    <w:rsid w:val="00D41203"/>
    <w:rsid w:val="00D439F5"/>
    <w:rsid w:val="00D522E7"/>
    <w:rsid w:val="00D65B01"/>
    <w:rsid w:val="00D7474D"/>
    <w:rsid w:val="00DA2918"/>
    <w:rsid w:val="00DA2D80"/>
    <w:rsid w:val="00DA5678"/>
    <w:rsid w:val="00DB45A6"/>
    <w:rsid w:val="00DC2BC0"/>
    <w:rsid w:val="00DC4507"/>
    <w:rsid w:val="00DE1C98"/>
    <w:rsid w:val="00DE362F"/>
    <w:rsid w:val="00DF10C0"/>
    <w:rsid w:val="00E0133E"/>
    <w:rsid w:val="00E01397"/>
    <w:rsid w:val="00E07A11"/>
    <w:rsid w:val="00E11B9D"/>
    <w:rsid w:val="00E129B5"/>
    <w:rsid w:val="00E16142"/>
    <w:rsid w:val="00E32368"/>
    <w:rsid w:val="00E40558"/>
    <w:rsid w:val="00E47116"/>
    <w:rsid w:val="00E524EE"/>
    <w:rsid w:val="00E67B1B"/>
    <w:rsid w:val="00E820F1"/>
    <w:rsid w:val="00E86080"/>
    <w:rsid w:val="00E91F60"/>
    <w:rsid w:val="00EA3496"/>
    <w:rsid w:val="00EA3FCF"/>
    <w:rsid w:val="00EB4408"/>
    <w:rsid w:val="00EB47A7"/>
    <w:rsid w:val="00EB5341"/>
    <w:rsid w:val="00EF16F3"/>
    <w:rsid w:val="00EF55A8"/>
    <w:rsid w:val="00EF61D1"/>
    <w:rsid w:val="00F01B9D"/>
    <w:rsid w:val="00F01DF3"/>
    <w:rsid w:val="00F05EEA"/>
    <w:rsid w:val="00F07CAE"/>
    <w:rsid w:val="00F1001C"/>
    <w:rsid w:val="00F14F84"/>
    <w:rsid w:val="00F22703"/>
    <w:rsid w:val="00F30823"/>
    <w:rsid w:val="00F35DBB"/>
    <w:rsid w:val="00F45DC8"/>
    <w:rsid w:val="00F52F30"/>
    <w:rsid w:val="00F60D3B"/>
    <w:rsid w:val="00F664AF"/>
    <w:rsid w:val="00F73CBF"/>
    <w:rsid w:val="00F81074"/>
    <w:rsid w:val="00F8664A"/>
    <w:rsid w:val="00F92E32"/>
    <w:rsid w:val="00F97C9F"/>
    <w:rsid w:val="00FC0208"/>
    <w:rsid w:val="00FC30F9"/>
    <w:rsid w:val="00FD7CB0"/>
    <w:rsid w:val="00FE1606"/>
    <w:rsid w:val="00FE243A"/>
    <w:rsid w:val="00FE6EB3"/>
    <w:rsid w:val="00FF03E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986BF0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tesreservoirproject.sharepoint.com/:f:/r/envpermitting/Data%20and%20Background%20Information/Operations%20Modeling%20Documents?csf=1&amp;web=1&amp;e=gMCTL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W2DYDCZSR3KP-599401305-18696</_dlc_DocId>
    <_dlc_DocIdUrl xmlns="d9320a93-a9f0-4135-97e0-380ac3311a04">
      <Url>https://sitesreservoirproject.sharepoint.com/EnvPlanning/_layouts/15/DocIdRedir.aspx?ID=W2DYDCZSR3KP-599401305-18696</Url>
      <Description>W2DYDCZSR3KP-599401305-18696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BD3C-F05E-4451-AD66-5FFDB4C1378E}"/>
</file>

<file path=customXml/itemProps2.xml><?xml version="1.0" encoding="utf-8"?>
<ds:datastoreItem xmlns:ds="http://schemas.openxmlformats.org/officeDocument/2006/customXml" ds:itemID="{4D67517E-0520-42E2-A091-951A0264E1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947f964b-3e55-4d2d-9907-7a711f72d79a"/>
    <ds:schemaRef ds:uri="07639154-bc63-40de-b739-cbfeeaf8fda3"/>
  </ds:schemaRefs>
</ds:datastoreItem>
</file>

<file path=customXml/itemProps5.xml><?xml version="1.0" encoding="utf-8"?>
<ds:datastoreItem xmlns:ds="http://schemas.openxmlformats.org/officeDocument/2006/customXml" ds:itemID="{12C57618-7B16-4CEC-90C3-913BADAD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1409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Spranza, John</cp:lastModifiedBy>
  <cp:revision>15</cp:revision>
  <cp:lastPrinted>2014-09-26T19:48:00Z</cp:lastPrinted>
  <dcterms:created xsi:type="dcterms:W3CDTF">2020-07-16T21:13:00Z</dcterms:created>
  <dcterms:modified xsi:type="dcterms:W3CDTF">2020-07-22T22:13:00Z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e476ecc7-4ff0-4bd1-8b34-2adece094e78</vt:lpwstr>
  </property>
</Properties>
</file>