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35022C" w14:textId="77777777" w:rsidR="00D962B8" w:rsidRDefault="00D962B8" w:rsidP="00D962B8">
      <w:pPr>
        <w:pStyle w:val="Heading1"/>
        <w:spacing w:before="0"/>
        <w:jc w:val="center"/>
      </w:pPr>
      <w:r>
        <w:t>Draft</w:t>
      </w:r>
    </w:p>
    <w:p w14:paraId="50A1162B" w14:textId="77777777" w:rsidR="00D962B8" w:rsidRDefault="00D962B8" w:rsidP="00D962B8">
      <w:pPr>
        <w:pStyle w:val="Heading1"/>
        <w:spacing w:before="0"/>
        <w:jc w:val="center"/>
      </w:pPr>
      <w:r>
        <w:t>Sites Project: Shasta Lake Exchange</w:t>
      </w:r>
    </w:p>
    <w:p w14:paraId="4EDC54B3" w14:textId="77777777" w:rsidR="00D962B8" w:rsidRDefault="00D962B8" w:rsidP="00D962B8">
      <w:pPr>
        <w:pStyle w:val="Heading1"/>
        <w:spacing w:before="0"/>
        <w:jc w:val="center"/>
      </w:pPr>
      <w:r>
        <w:t>Temperature Management Strategies</w:t>
      </w:r>
    </w:p>
    <w:p w14:paraId="620FC861" w14:textId="77777777" w:rsidR="00F47457" w:rsidRDefault="00F47457" w:rsidP="00020C74"/>
    <w:p w14:paraId="508D6A0F" w14:textId="6CC87A7C" w:rsidR="00020C74" w:rsidRPr="00020C74" w:rsidRDefault="00020C74" w:rsidP="00020C74">
      <w:r>
        <w:t xml:space="preserve">This document provides a preliminary </w:t>
      </w:r>
      <w:r w:rsidR="00AF4DE7">
        <w:t xml:space="preserve">summary of </w:t>
      </w:r>
      <w:r w:rsidR="00D32027">
        <w:t>Sites coordination with Shasta operations to benefit cold water pool management.</w:t>
      </w:r>
      <w:r w:rsidR="00F13387">
        <w:t xml:space="preserve"> A comparison of possible </w:t>
      </w:r>
      <w:r w:rsidR="00B04DD8">
        <w:t xml:space="preserve">Sites and Shasta </w:t>
      </w:r>
      <w:r w:rsidR="00A02E97">
        <w:t xml:space="preserve">exchange </w:t>
      </w:r>
      <w:r w:rsidR="00B04DD8">
        <w:t>criteria are tabulated</w:t>
      </w:r>
      <w:r w:rsidR="008B23D1">
        <w:t>. Then, a summary of Reclamation</w:t>
      </w:r>
      <w:r w:rsidR="00564BF7">
        <w:t>’s</w:t>
      </w:r>
      <w:r w:rsidR="008B23D1">
        <w:t xml:space="preserve"> </w:t>
      </w:r>
      <w:r w:rsidR="00564BF7">
        <w:t>cold water pool management at Shasta, as described in ROC on LTO, is provided.</w:t>
      </w:r>
      <w:r w:rsidR="001B3E14">
        <w:t xml:space="preserve"> </w:t>
      </w:r>
      <w:r w:rsidR="00E76318">
        <w:t xml:space="preserve">Based on exchange criteria and Shasta cold water pool management, </w:t>
      </w:r>
      <w:r w:rsidR="004A6B8E">
        <w:t xml:space="preserve">the document concludes with </w:t>
      </w:r>
      <w:r w:rsidR="00E76318">
        <w:t>a</w:t>
      </w:r>
      <w:r w:rsidR="001B3E14">
        <w:t xml:space="preserve"> qualitative </w:t>
      </w:r>
      <w:r w:rsidR="006A7CDC">
        <w:t xml:space="preserve">assessment </w:t>
      </w:r>
      <w:r w:rsidR="00E76318">
        <w:t xml:space="preserve">of </w:t>
      </w:r>
      <w:r w:rsidR="00181CD3">
        <w:t xml:space="preserve">potential </w:t>
      </w:r>
      <w:r w:rsidR="006A7CDC">
        <w:t>Sites benefits to Shasta cold water pool management</w:t>
      </w:r>
      <w:r w:rsidR="00A002BD">
        <w:t>.</w:t>
      </w:r>
    </w:p>
    <w:p w14:paraId="6D3F824F" w14:textId="083A7745" w:rsidR="00791856" w:rsidRDefault="0002756B" w:rsidP="00320F38">
      <w:pPr>
        <w:pStyle w:val="Heading2"/>
      </w:pPr>
      <w:r>
        <w:t>Comparison of Shasta Exchange Criteria</w:t>
      </w:r>
    </w:p>
    <w:tbl>
      <w:tblPr>
        <w:tblStyle w:val="TableGrid"/>
        <w:tblW w:w="0" w:type="auto"/>
        <w:tblLook w:val="04A0" w:firstRow="1" w:lastRow="0" w:firstColumn="1" w:lastColumn="0" w:noHBand="0" w:noVBand="1"/>
      </w:tblPr>
      <w:tblGrid>
        <w:gridCol w:w="1971"/>
        <w:gridCol w:w="1847"/>
        <w:gridCol w:w="1973"/>
        <w:gridCol w:w="1484"/>
        <w:gridCol w:w="2075"/>
      </w:tblGrid>
      <w:tr w:rsidR="00EA402B" w14:paraId="027ADB31" w14:textId="77777777" w:rsidTr="00C90A0C">
        <w:tc>
          <w:tcPr>
            <w:tcW w:w="1971" w:type="dxa"/>
          </w:tcPr>
          <w:p w14:paraId="66538B76" w14:textId="77777777" w:rsidR="00EA402B" w:rsidRDefault="00EA402B" w:rsidP="00BB2D53"/>
        </w:tc>
        <w:tc>
          <w:tcPr>
            <w:tcW w:w="1847" w:type="dxa"/>
          </w:tcPr>
          <w:p w14:paraId="2E1A13EC" w14:textId="6C9B6D3A" w:rsidR="00EA402B" w:rsidRDefault="00EA402B" w:rsidP="00BB2D53">
            <w:r>
              <w:t>Authority Initial Concept – 1 Delevan Pipeline</w:t>
            </w:r>
          </w:p>
        </w:tc>
        <w:tc>
          <w:tcPr>
            <w:tcW w:w="1973" w:type="dxa"/>
          </w:tcPr>
          <w:p w14:paraId="397B0759" w14:textId="09935BBE" w:rsidR="00EA402B" w:rsidRDefault="00EA402B" w:rsidP="00BB2D53">
            <w:r>
              <w:t>Reclamation Proposed Criteria</w:t>
            </w:r>
          </w:p>
        </w:tc>
        <w:tc>
          <w:tcPr>
            <w:tcW w:w="1484" w:type="dxa"/>
          </w:tcPr>
          <w:p w14:paraId="190A6E8E" w14:textId="6E04FEA9" w:rsidR="00EA402B" w:rsidRPr="00C90A0C" w:rsidRDefault="00D9751C" w:rsidP="00BB2D53">
            <w:pPr>
              <w:rPr>
                <w:vertAlign w:val="superscript"/>
              </w:rPr>
            </w:pPr>
            <w:r>
              <w:t>Criteria per ROC on LTO</w:t>
            </w:r>
            <w:r w:rsidR="00A74EF8">
              <w:t xml:space="preserve"> Alternative 1</w:t>
            </w:r>
            <w:r>
              <w:t xml:space="preserve"> </w:t>
            </w:r>
            <w:r w:rsidR="00CC7E52">
              <w:t>D</w:t>
            </w:r>
            <w:r>
              <w:t>escription</w:t>
            </w:r>
            <w:r w:rsidR="00BB0190">
              <w:rPr>
                <w:vertAlign w:val="superscript"/>
              </w:rPr>
              <w:t>1</w:t>
            </w:r>
          </w:p>
        </w:tc>
        <w:tc>
          <w:tcPr>
            <w:tcW w:w="2075" w:type="dxa"/>
          </w:tcPr>
          <w:p w14:paraId="3FD5A72A" w14:textId="54BE0674" w:rsidR="00EA402B" w:rsidRDefault="00EA402B" w:rsidP="00BB2D53">
            <w:r>
              <w:t>Notes</w:t>
            </w:r>
          </w:p>
        </w:tc>
      </w:tr>
      <w:tr w:rsidR="00EA402B" w14:paraId="3D7182AF" w14:textId="77777777" w:rsidTr="00C90A0C">
        <w:tc>
          <w:tcPr>
            <w:tcW w:w="1971" w:type="dxa"/>
          </w:tcPr>
          <w:p w14:paraId="3E378D9D" w14:textId="3745491A" w:rsidR="00EA402B" w:rsidRPr="00D120B6" w:rsidRDefault="00EA402B" w:rsidP="00BB2D53">
            <w:pPr>
              <w:rPr>
                <w:b/>
                <w:bCs/>
              </w:rPr>
            </w:pPr>
            <w:r w:rsidRPr="00D120B6">
              <w:rPr>
                <w:b/>
                <w:bCs/>
              </w:rPr>
              <w:t>Exchange Period</w:t>
            </w:r>
          </w:p>
        </w:tc>
        <w:tc>
          <w:tcPr>
            <w:tcW w:w="1847" w:type="dxa"/>
          </w:tcPr>
          <w:p w14:paraId="74409D52" w14:textId="36E247A1" w:rsidR="00EA402B" w:rsidRPr="00104E5F" w:rsidRDefault="00EA402B" w:rsidP="00FA7A97">
            <w:r w:rsidRPr="00104E5F">
              <w:t>Apr – Jul</w:t>
            </w:r>
          </w:p>
        </w:tc>
        <w:tc>
          <w:tcPr>
            <w:tcW w:w="1973" w:type="dxa"/>
          </w:tcPr>
          <w:p w14:paraId="7F5F33EF" w14:textId="00D8D07C" w:rsidR="00EA402B" w:rsidRDefault="00EA402B" w:rsidP="00FA7A97">
            <w:r w:rsidRPr="00A17CA8">
              <w:rPr>
                <w:b/>
                <w:bCs/>
              </w:rPr>
              <w:t>Dry:</w:t>
            </w:r>
            <w:r>
              <w:t xml:space="preserve"> </w:t>
            </w:r>
            <w:r w:rsidRPr="00104E5F">
              <w:t xml:space="preserve">Apr – </w:t>
            </w:r>
            <w:r>
              <w:t>Jun</w:t>
            </w:r>
          </w:p>
          <w:p w14:paraId="6DE04919" w14:textId="18C2DB13" w:rsidR="00EA402B" w:rsidRPr="00104E5F" w:rsidRDefault="00EA402B" w:rsidP="00FA7A97">
            <w:r w:rsidRPr="00A17CA8">
              <w:rPr>
                <w:b/>
                <w:bCs/>
              </w:rPr>
              <w:t>Critical:</w:t>
            </w:r>
            <w:r>
              <w:t xml:space="preserve"> </w:t>
            </w:r>
            <w:r w:rsidRPr="00104E5F">
              <w:t>Apr – May</w:t>
            </w:r>
            <w:r>
              <w:t xml:space="preserve"> </w:t>
            </w:r>
          </w:p>
        </w:tc>
        <w:tc>
          <w:tcPr>
            <w:tcW w:w="1484" w:type="dxa"/>
          </w:tcPr>
          <w:p w14:paraId="3F18213B" w14:textId="5FF9477B" w:rsidR="00EA402B" w:rsidRPr="00104E5F" w:rsidRDefault="00857E0D" w:rsidP="00FA7A97">
            <w:r>
              <w:t xml:space="preserve">Apr – </w:t>
            </w:r>
            <w:r w:rsidR="009E7901">
              <w:t>Jun</w:t>
            </w:r>
            <w:r>
              <w:t xml:space="preserve"> </w:t>
            </w:r>
          </w:p>
        </w:tc>
        <w:tc>
          <w:tcPr>
            <w:tcW w:w="2075" w:type="dxa"/>
          </w:tcPr>
          <w:p w14:paraId="50613D17" w14:textId="35F22A1B" w:rsidR="00EA402B" w:rsidRPr="00104E5F" w:rsidRDefault="00F16E4E" w:rsidP="00FA7A97">
            <w:r>
              <w:t xml:space="preserve">According to ROC on LTO ALT1 011519 modeling results, </w:t>
            </w:r>
            <w:r w:rsidR="003B631A">
              <w:t xml:space="preserve">June temperature </w:t>
            </w:r>
            <w:r w:rsidR="004D324E">
              <w:t xml:space="preserve">at CCR is </w:t>
            </w:r>
            <w:r w:rsidR="00452DC3">
              <w:t>significantly below target</w:t>
            </w:r>
            <w:r w:rsidR="00250E7B">
              <w:t xml:space="preserve"> in most years</w:t>
            </w:r>
            <w:r w:rsidR="00452DC3">
              <w:t>.</w:t>
            </w:r>
            <w:r w:rsidR="00BD672C">
              <w:t xml:space="preserve"> </w:t>
            </w:r>
            <w:r w:rsidR="00250E7B">
              <w:t>A d</w:t>
            </w:r>
            <w:r w:rsidR="00BD672C">
              <w:t xml:space="preserve">ecrease in Shasta release would not </w:t>
            </w:r>
            <w:r w:rsidR="00FA38AE">
              <w:t>cause temperature at</w:t>
            </w:r>
            <w:r w:rsidR="00ED6981">
              <w:t xml:space="preserve"> CCR </w:t>
            </w:r>
            <w:r w:rsidR="00FA38AE">
              <w:t>to exceed</w:t>
            </w:r>
            <w:r w:rsidR="00880B93">
              <w:t xml:space="preserve"> the temperature</w:t>
            </w:r>
            <w:r w:rsidR="00ED6981">
              <w:t xml:space="preserve"> threshold.</w:t>
            </w:r>
          </w:p>
        </w:tc>
      </w:tr>
      <w:tr w:rsidR="00EA402B" w14:paraId="53593787" w14:textId="77777777" w:rsidTr="00C90A0C">
        <w:tc>
          <w:tcPr>
            <w:tcW w:w="1971" w:type="dxa"/>
          </w:tcPr>
          <w:p w14:paraId="46AF398F" w14:textId="16E05B8A" w:rsidR="00EA402B" w:rsidRPr="00D120B6" w:rsidRDefault="00EA402B" w:rsidP="00BB2D53">
            <w:pPr>
              <w:rPr>
                <w:b/>
                <w:bCs/>
              </w:rPr>
            </w:pPr>
            <w:r w:rsidRPr="00D120B6">
              <w:rPr>
                <w:b/>
                <w:bCs/>
              </w:rPr>
              <w:t>Exchange Constraints</w:t>
            </w:r>
          </w:p>
        </w:tc>
        <w:tc>
          <w:tcPr>
            <w:tcW w:w="1847" w:type="dxa"/>
          </w:tcPr>
          <w:p w14:paraId="4B3FEF73" w14:textId="77777777" w:rsidR="00EA402B" w:rsidRPr="00104E5F" w:rsidRDefault="00EA402B" w:rsidP="00FA7A97"/>
        </w:tc>
        <w:tc>
          <w:tcPr>
            <w:tcW w:w="1973" w:type="dxa"/>
          </w:tcPr>
          <w:p w14:paraId="6ED1FA12" w14:textId="77777777" w:rsidR="00EA402B" w:rsidRPr="00104E5F" w:rsidRDefault="00EA402B" w:rsidP="00FA7A97"/>
        </w:tc>
        <w:tc>
          <w:tcPr>
            <w:tcW w:w="1484" w:type="dxa"/>
          </w:tcPr>
          <w:p w14:paraId="77E53A98" w14:textId="77777777" w:rsidR="00EA402B" w:rsidRPr="00104E5F" w:rsidRDefault="00EA402B" w:rsidP="00FA7A97"/>
        </w:tc>
        <w:tc>
          <w:tcPr>
            <w:tcW w:w="2075" w:type="dxa"/>
          </w:tcPr>
          <w:p w14:paraId="087388F1" w14:textId="46C1123B" w:rsidR="00EA402B" w:rsidRPr="00104E5F" w:rsidRDefault="00EA402B" w:rsidP="00FA7A97"/>
        </w:tc>
      </w:tr>
      <w:tr w:rsidR="00EA402B" w14:paraId="6E9BAA5B" w14:textId="77777777" w:rsidTr="00C90A0C">
        <w:tc>
          <w:tcPr>
            <w:tcW w:w="1971" w:type="dxa"/>
          </w:tcPr>
          <w:p w14:paraId="20B415CE" w14:textId="33EE7BBB" w:rsidR="00EA402B" w:rsidRDefault="00EA402B" w:rsidP="00BB2D53">
            <w:r>
              <w:t>Water year types</w:t>
            </w:r>
          </w:p>
        </w:tc>
        <w:tc>
          <w:tcPr>
            <w:tcW w:w="1847" w:type="dxa"/>
          </w:tcPr>
          <w:p w14:paraId="37B5388F" w14:textId="67A703FB" w:rsidR="00EA402B" w:rsidRPr="00104E5F" w:rsidRDefault="00EA402B" w:rsidP="00FA7A97">
            <w:r w:rsidRPr="00104E5F">
              <w:t>Dry and Critically Dry water years</w:t>
            </w:r>
          </w:p>
        </w:tc>
        <w:tc>
          <w:tcPr>
            <w:tcW w:w="1973" w:type="dxa"/>
          </w:tcPr>
          <w:p w14:paraId="3E478CAF" w14:textId="323A3455" w:rsidR="00EA402B" w:rsidRPr="00104E5F" w:rsidRDefault="00EA402B" w:rsidP="00FA7A97">
            <w:r w:rsidRPr="00104E5F">
              <w:t>Dry and Critically Dry water years</w:t>
            </w:r>
          </w:p>
        </w:tc>
        <w:tc>
          <w:tcPr>
            <w:tcW w:w="1484" w:type="dxa"/>
          </w:tcPr>
          <w:p w14:paraId="0BB1B46B" w14:textId="6EC77495" w:rsidR="00EA402B" w:rsidRPr="00104E5F" w:rsidRDefault="00857E0D" w:rsidP="00FA7A97">
            <w:r w:rsidRPr="00104E5F">
              <w:t>Dry and Critically Dry water years</w:t>
            </w:r>
          </w:p>
        </w:tc>
        <w:tc>
          <w:tcPr>
            <w:tcW w:w="2075" w:type="dxa"/>
          </w:tcPr>
          <w:p w14:paraId="59ECDB08" w14:textId="48FC2203" w:rsidR="00EA402B" w:rsidRPr="00104E5F" w:rsidRDefault="00EA402B" w:rsidP="00FA7A97"/>
        </w:tc>
      </w:tr>
      <w:tr w:rsidR="00EA402B" w14:paraId="7FDBE511" w14:textId="77777777" w:rsidTr="00C90A0C">
        <w:tc>
          <w:tcPr>
            <w:tcW w:w="1971" w:type="dxa"/>
          </w:tcPr>
          <w:p w14:paraId="07162716" w14:textId="04A04416" w:rsidR="00EA402B" w:rsidRDefault="00EA402B" w:rsidP="00BB2D53">
            <w:r>
              <w:t>Minimum flow at Sacramento River at Keswick</w:t>
            </w:r>
          </w:p>
        </w:tc>
        <w:tc>
          <w:tcPr>
            <w:tcW w:w="1847" w:type="dxa"/>
          </w:tcPr>
          <w:p w14:paraId="5DC824BA" w14:textId="77777777" w:rsidR="00EA402B" w:rsidRPr="00104E5F" w:rsidRDefault="00EA402B" w:rsidP="00FA7A97">
            <w:r w:rsidRPr="00104E5F">
              <w:t>Apr – May: 6,000 cfs</w:t>
            </w:r>
          </w:p>
          <w:p w14:paraId="6235EAEE" w14:textId="7FE36E22" w:rsidR="00EA402B" w:rsidRPr="00104E5F" w:rsidRDefault="00EA402B" w:rsidP="00FA7A97">
            <w:r w:rsidRPr="00104E5F">
              <w:t>Jun: 10,000 cfs</w:t>
            </w:r>
          </w:p>
          <w:p w14:paraId="77E63E19" w14:textId="498293DD" w:rsidR="00EA402B" w:rsidRPr="00104E5F" w:rsidRDefault="00EA402B" w:rsidP="00FA7A97">
            <w:r w:rsidRPr="00104E5F">
              <w:t>Jul: 12,000 cfs</w:t>
            </w:r>
          </w:p>
        </w:tc>
        <w:tc>
          <w:tcPr>
            <w:tcW w:w="1973" w:type="dxa"/>
          </w:tcPr>
          <w:p w14:paraId="0FAD8138" w14:textId="77777777" w:rsidR="00EA402B" w:rsidRPr="00104E5F" w:rsidRDefault="00EA402B" w:rsidP="001362E9">
            <w:r w:rsidRPr="00104E5F">
              <w:t>Apr – May: 6,000 cfs</w:t>
            </w:r>
          </w:p>
          <w:p w14:paraId="56E92D62" w14:textId="77777777" w:rsidR="00EA402B" w:rsidRPr="00104E5F" w:rsidRDefault="00EA402B" w:rsidP="00FA7A97"/>
        </w:tc>
        <w:tc>
          <w:tcPr>
            <w:tcW w:w="1484" w:type="dxa"/>
          </w:tcPr>
          <w:p w14:paraId="27DEBAD0" w14:textId="77777777" w:rsidR="009E7901" w:rsidRPr="00104E5F" w:rsidRDefault="009E7901" w:rsidP="009E7901">
            <w:r w:rsidRPr="00104E5F">
              <w:t>Apr – May: 6,000 cfs</w:t>
            </w:r>
          </w:p>
          <w:p w14:paraId="745EC76B" w14:textId="44978107" w:rsidR="00EA402B" w:rsidRDefault="009E7901" w:rsidP="00FA7A97">
            <w:r w:rsidRPr="00104E5F">
              <w:t>Jun: 10,000 cfs</w:t>
            </w:r>
          </w:p>
        </w:tc>
        <w:tc>
          <w:tcPr>
            <w:tcW w:w="2075" w:type="dxa"/>
          </w:tcPr>
          <w:p w14:paraId="4A7EDC72" w14:textId="6AE1D2BF" w:rsidR="00EA402B" w:rsidRPr="00104E5F" w:rsidRDefault="00EA402B" w:rsidP="00FA7A97">
            <w:r>
              <w:t>Exchanges in Dry and Critically Dry water years are not likely to impact ROC on LTO Spring Pulse Flows action</w:t>
            </w:r>
          </w:p>
        </w:tc>
      </w:tr>
      <w:tr w:rsidR="00EA402B" w14:paraId="7BB4BF3F" w14:textId="77777777" w:rsidTr="00C90A0C">
        <w:tc>
          <w:tcPr>
            <w:tcW w:w="1971" w:type="dxa"/>
          </w:tcPr>
          <w:p w14:paraId="4389AFB4" w14:textId="04DE9AED" w:rsidR="00EA402B" w:rsidRDefault="00EA402B" w:rsidP="00BB2D53">
            <w:r>
              <w:t>Maximum allowable temperature at Sacramento River below Clear Creek</w:t>
            </w:r>
          </w:p>
        </w:tc>
        <w:tc>
          <w:tcPr>
            <w:tcW w:w="1847" w:type="dxa"/>
          </w:tcPr>
          <w:p w14:paraId="56EA4FA6" w14:textId="77777777" w:rsidR="00EA402B" w:rsidRPr="00104E5F" w:rsidRDefault="00EA402B" w:rsidP="00FA7A97">
            <w:r w:rsidRPr="00104E5F">
              <w:t>Apr: No rule</w:t>
            </w:r>
          </w:p>
          <w:p w14:paraId="75FE7ADA" w14:textId="77777777" w:rsidR="00EA402B" w:rsidRPr="00104E5F" w:rsidRDefault="00EA402B" w:rsidP="00FA7A97">
            <w:r w:rsidRPr="00104E5F">
              <w:t>May – Jun: 56 deg F</w:t>
            </w:r>
          </w:p>
          <w:p w14:paraId="14265333" w14:textId="3EBBFE72" w:rsidR="00EA402B" w:rsidRPr="00104E5F" w:rsidRDefault="00EA402B" w:rsidP="00FA7A97">
            <w:r w:rsidRPr="00104E5F">
              <w:t>Jul: 53.5 deg F</w:t>
            </w:r>
          </w:p>
        </w:tc>
        <w:tc>
          <w:tcPr>
            <w:tcW w:w="1973" w:type="dxa"/>
          </w:tcPr>
          <w:p w14:paraId="3999DA3E" w14:textId="77777777" w:rsidR="00EA402B" w:rsidRPr="00104E5F" w:rsidRDefault="00EA402B" w:rsidP="001362E9">
            <w:pPr>
              <w:rPr>
                <w:b/>
                <w:bCs/>
              </w:rPr>
            </w:pPr>
            <w:r w:rsidRPr="00104E5F">
              <w:rPr>
                <w:b/>
                <w:bCs/>
              </w:rPr>
              <w:t>Dry:</w:t>
            </w:r>
          </w:p>
          <w:p w14:paraId="5E564BB9" w14:textId="77777777" w:rsidR="00EA402B" w:rsidRPr="00104E5F" w:rsidRDefault="00EA402B" w:rsidP="001362E9">
            <w:r w:rsidRPr="00104E5F">
              <w:t>Apr: 51.2 deg F</w:t>
            </w:r>
          </w:p>
          <w:p w14:paraId="2FA3D1D3" w14:textId="77777777" w:rsidR="00EA402B" w:rsidRPr="00104E5F" w:rsidRDefault="00EA402B" w:rsidP="001362E9">
            <w:r w:rsidRPr="00104E5F">
              <w:t>May: 51.1 deg F</w:t>
            </w:r>
          </w:p>
          <w:p w14:paraId="3AB5486B" w14:textId="77777777" w:rsidR="00EA402B" w:rsidRPr="00104E5F" w:rsidRDefault="00EA402B" w:rsidP="001362E9">
            <w:r w:rsidRPr="00104E5F">
              <w:t>Jun: 51.5 deg F</w:t>
            </w:r>
          </w:p>
          <w:p w14:paraId="57A8169F" w14:textId="77777777" w:rsidR="00EA402B" w:rsidRPr="00104E5F" w:rsidRDefault="00EA402B" w:rsidP="001362E9">
            <w:r w:rsidRPr="00104E5F">
              <w:t>Jul: 52.7 deg F</w:t>
            </w:r>
          </w:p>
          <w:p w14:paraId="4AACD48C" w14:textId="77777777" w:rsidR="00EA402B" w:rsidRPr="00104E5F" w:rsidRDefault="00EA402B" w:rsidP="001362E9"/>
          <w:p w14:paraId="6678C539" w14:textId="3740C405" w:rsidR="00EA402B" w:rsidRPr="00104E5F" w:rsidRDefault="00EA402B" w:rsidP="001362E9">
            <w:pPr>
              <w:rPr>
                <w:b/>
                <w:bCs/>
              </w:rPr>
            </w:pPr>
            <w:r w:rsidRPr="00104E5F">
              <w:rPr>
                <w:b/>
                <w:bCs/>
              </w:rPr>
              <w:t>Critical:</w:t>
            </w:r>
          </w:p>
          <w:p w14:paraId="42331863" w14:textId="77777777" w:rsidR="00EA402B" w:rsidRPr="00104E5F" w:rsidRDefault="00EA402B" w:rsidP="001362E9">
            <w:r w:rsidRPr="00104E5F">
              <w:t>Apr: 51.6 deg F</w:t>
            </w:r>
          </w:p>
          <w:p w14:paraId="3D3B7165" w14:textId="77777777" w:rsidR="00EA402B" w:rsidRPr="00104E5F" w:rsidRDefault="00EA402B" w:rsidP="001362E9">
            <w:r w:rsidRPr="00104E5F">
              <w:t>May: 52.2 deg F</w:t>
            </w:r>
          </w:p>
          <w:p w14:paraId="2C7A0AF5" w14:textId="77777777" w:rsidR="00EA402B" w:rsidRPr="00104E5F" w:rsidRDefault="00EA402B" w:rsidP="001362E9">
            <w:r w:rsidRPr="00104E5F">
              <w:t>Jun: 53.4 deg F</w:t>
            </w:r>
          </w:p>
          <w:p w14:paraId="1D5297F5" w14:textId="6103159F" w:rsidR="00EA402B" w:rsidRPr="00104E5F" w:rsidRDefault="00EA402B" w:rsidP="001362E9">
            <w:r w:rsidRPr="00104E5F">
              <w:t>Jul: 55.0 deg F</w:t>
            </w:r>
          </w:p>
        </w:tc>
        <w:tc>
          <w:tcPr>
            <w:tcW w:w="1484" w:type="dxa"/>
          </w:tcPr>
          <w:p w14:paraId="17DA5749" w14:textId="746161B6" w:rsidR="008850E9" w:rsidRPr="008850E9" w:rsidRDefault="008850E9" w:rsidP="008850E9">
            <w:r w:rsidRPr="008850E9">
              <w:lastRenderedPageBreak/>
              <w:t>Apr</w:t>
            </w:r>
            <w:r>
              <w:t xml:space="preserve"> 1</w:t>
            </w:r>
            <w:r w:rsidRPr="00C90A0C">
              <w:rPr>
                <w:vertAlign w:val="superscript"/>
              </w:rPr>
              <w:t>st</w:t>
            </w:r>
            <w:r>
              <w:t xml:space="preserve"> to May 15</w:t>
            </w:r>
            <w:r w:rsidRPr="00C90A0C">
              <w:rPr>
                <w:vertAlign w:val="superscript"/>
              </w:rPr>
              <w:t>th</w:t>
            </w:r>
            <w:r w:rsidRPr="008850E9">
              <w:t>: No rule</w:t>
            </w:r>
          </w:p>
          <w:p w14:paraId="1B42BDAE" w14:textId="57ED3E32" w:rsidR="00EA402B" w:rsidRPr="008850E9" w:rsidRDefault="008850E9" w:rsidP="00C90A0C">
            <w:r w:rsidRPr="008850E9">
              <w:t>May</w:t>
            </w:r>
            <w:r>
              <w:t xml:space="preserve"> 16</w:t>
            </w:r>
            <w:r w:rsidRPr="00C90A0C">
              <w:rPr>
                <w:vertAlign w:val="superscript"/>
              </w:rPr>
              <w:t>th</w:t>
            </w:r>
            <w:r>
              <w:t xml:space="preserve"> </w:t>
            </w:r>
            <w:r w:rsidRPr="008850E9">
              <w:t>– Jun</w:t>
            </w:r>
            <w:r>
              <w:t xml:space="preserve"> 30</w:t>
            </w:r>
            <w:r w:rsidRPr="00C90A0C">
              <w:rPr>
                <w:vertAlign w:val="superscript"/>
              </w:rPr>
              <w:t>th</w:t>
            </w:r>
            <w:r w:rsidRPr="008850E9">
              <w:t xml:space="preserve">: </w:t>
            </w:r>
            <w:r w:rsidR="00641C72">
              <w:t xml:space="preserve">53.5 to </w:t>
            </w:r>
            <w:r w:rsidRPr="008850E9">
              <w:t>56 deg F</w:t>
            </w:r>
            <w:r w:rsidR="00641C72">
              <w:t xml:space="preserve"> </w:t>
            </w:r>
            <w:r w:rsidR="00641C72">
              <w:lastRenderedPageBreak/>
              <w:t xml:space="preserve">(depending on </w:t>
            </w:r>
            <w:r w:rsidR="00C403AD">
              <w:t>temperature tier)</w:t>
            </w:r>
          </w:p>
        </w:tc>
        <w:tc>
          <w:tcPr>
            <w:tcW w:w="2075" w:type="dxa"/>
          </w:tcPr>
          <w:p w14:paraId="26565956" w14:textId="2126314C" w:rsidR="00EA402B" w:rsidRDefault="00EA402B" w:rsidP="00104E5F"/>
          <w:p w14:paraId="049C4FF9" w14:textId="20310807" w:rsidR="000643E1" w:rsidRPr="00104E5F" w:rsidRDefault="00880B93" w:rsidP="00104E5F">
            <w:r>
              <w:t>Per ROC on LTO FEIS</w:t>
            </w:r>
          </w:p>
        </w:tc>
      </w:tr>
      <w:tr w:rsidR="00EA402B" w14:paraId="04853B84" w14:textId="77777777" w:rsidTr="00C90A0C">
        <w:tc>
          <w:tcPr>
            <w:tcW w:w="1971" w:type="dxa"/>
          </w:tcPr>
          <w:p w14:paraId="3F3CCC68" w14:textId="3C15E596" w:rsidR="00EA402B" w:rsidRDefault="00EA402B" w:rsidP="00BB2D53">
            <w:r>
              <w:t>Sacramento Valley Conditions</w:t>
            </w:r>
          </w:p>
        </w:tc>
        <w:tc>
          <w:tcPr>
            <w:tcW w:w="1847" w:type="dxa"/>
          </w:tcPr>
          <w:p w14:paraId="1A7A96A3" w14:textId="513E049A" w:rsidR="00EA402B" w:rsidRPr="00104E5F" w:rsidRDefault="00862AFE" w:rsidP="00FA7A97">
            <w:r>
              <w:t>Only during In Basin U</w:t>
            </w:r>
            <w:r w:rsidR="00BB70BB">
              <w:t>se conditions</w:t>
            </w:r>
          </w:p>
        </w:tc>
        <w:tc>
          <w:tcPr>
            <w:tcW w:w="1973" w:type="dxa"/>
          </w:tcPr>
          <w:p w14:paraId="6BF1B16C" w14:textId="5E9A64B2" w:rsidR="00EA402B" w:rsidRPr="00104E5F" w:rsidRDefault="00BB70BB" w:rsidP="00FA7A97">
            <w:r>
              <w:t>Only during In Basin Use conditions</w:t>
            </w:r>
          </w:p>
        </w:tc>
        <w:tc>
          <w:tcPr>
            <w:tcW w:w="1484" w:type="dxa"/>
          </w:tcPr>
          <w:p w14:paraId="60FC110B" w14:textId="01B5C8E8" w:rsidR="00EA402B" w:rsidRPr="00104E5F" w:rsidRDefault="008850E9" w:rsidP="00FA7A97">
            <w:r>
              <w:t>Only during In Basin Use conditions</w:t>
            </w:r>
          </w:p>
        </w:tc>
        <w:tc>
          <w:tcPr>
            <w:tcW w:w="2075" w:type="dxa"/>
          </w:tcPr>
          <w:p w14:paraId="32305DA4" w14:textId="1D0B9912" w:rsidR="00EA402B" w:rsidRPr="00104E5F" w:rsidRDefault="00EA402B" w:rsidP="00FA7A97"/>
        </w:tc>
      </w:tr>
      <w:tr w:rsidR="00EA402B" w14:paraId="662E2B2B" w14:textId="77777777" w:rsidTr="00C90A0C">
        <w:tc>
          <w:tcPr>
            <w:tcW w:w="1971" w:type="dxa"/>
          </w:tcPr>
          <w:p w14:paraId="4D3AA363" w14:textId="011F59F0" w:rsidR="00EA402B" w:rsidRPr="00D120B6" w:rsidRDefault="00EA402B" w:rsidP="00BB2D53">
            <w:pPr>
              <w:rPr>
                <w:b/>
                <w:bCs/>
              </w:rPr>
            </w:pPr>
            <w:r w:rsidRPr="00D120B6">
              <w:rPr>
                <w:b/>
                <w:bCs/>
              </w:rPr>
              <w:t>Release Period</w:t>
            </w:r>
          </w:p>
        </w:tc>
        <w:tc>
          <w:tcPr>
            <w:tcW w:w="1847" w:type="dxa"/>
          </w:tcPr>
          <w:p w14:paraId="5D9ADFFC" w14:textId="77552083" w:rsidR="00EA402B" w:rsidRPr="00104E5F" w:rsidRDefault="00EA402B" w:rsidP="00FA7A97">
            <w:r w:rsidRPr="00104E5F">
              <w:t>Aug – Nov 15</w:t>
            </w:r>
          </w:p>
        </w:tc>
        <w:tc>
          <w:tcPr>
            <w:tcW w:w="1973" w:type="dxa"/>
          </w:tcPr>
          <w:p w14:paraId="198FAA47" w14:textId="6415D807" w:rsidR="00EA402B" w:rsidRPr="00104E5F" w:rsidRDefault="00EA402B" w:rsidP="00FA7A97">
            <w:r>
              <w:t xml:space="preserve">Sep </w:t>
            </w:r>
            <w:r w:rsidR="005774BA">
              <w:t>–</w:t>
            </w:r>
            <w:r>
              <w:t xml:space="preserve"> Nov</w:t>
            </w:r>
          </w:p>
        </w:tc>
        <w:tc>
          <w:tcPr>
            <w:tcW w:w="1484" w:type="dxa"/>
          </w:tcPr>
          <w:p w14:paraId="0F422F74" w14:textId="75B950A2" w:rsidR="00EA402B" w:rsidRPr="00104E5F" w:rsidRDefault="00C13EF7" w:rsidP="00FA7A97">
            <w:r>
              <w:t>Aug – Nov</w:t>
            </w:r>
          </w:p>
        </w:tc>
        <w:tc>
          <w:tcPr>
            <w:tcW w:w="2075" w:type="dxa"/>
          </w:tcPr>
          <w:p w14:paraId="37843691" w14:textId="571F52B2" w:rsidR="00EA402B" w:rsidRPr="00104E5F" w:rsidRDefault="00863337" w:rsidP="00FA7A97">
            <w:r>
              <w:t xml:space="preserve">As August is in the hatch period, </w:t>
            </w:r>
            <w:r w:rsidR="00375DD5">
              <w:t xml:space="preserve">August releases </w:t>
            </w:r>
            <w:r>
              <w:t xml:space="preserve">from Shasta </w:t>
            </w:r>
            <w:r w:rsidR="00375DD5">
              <w:t xml:space="preserve">would </w:t>
            </w:r>
            <w:r w:rsidR="002567BA">
              <w:t xml:space="preserve">provide most </w:t>
            </w:r>
            <w:r w:rsidR="00375DD5">
              <w:t xml:space="preserve">benefit </w:t>
            </w:r>
            <w:r>
              <w:t xml:space="preserve">to </w:t>
            </w:r>
            <w:r w:rsidR="00443990">
              <w:t>Shasta cold water pool management.</w:t>
            </w:r>
          </w:p>
        </w:tc>
      </w:tr>
      <w:tr w:rsidR="00EA402B" w14:paraId="05CC0C75" w14:textId="77777777" w:rsidTr="00C90A0C">
        <w:tc>
          <w:tcPr>
            <w:tcW w:w="1971" w:type="dxa"/>
          </w:tcPr>
          <w:p w14:paraId="143B104D" w14:textId="65311C1D" w:rsidR="00EA402B" w:rsidRPr="00D120B6" w:rsidRDefault="00EA402B" w:rsidP="00BB2D53">
            <w:pPr>
              <w:rPr>
                <w:b/>
                <w:bCs/>
              </w:rPr>
            </w:pPr>
            <w:r w:rsidRPr="00D120B6">
              <w:rPr>
                <w:b/>
                <w:bCs/>
              </w:rPr>
              <w:t>Release Constraints</w:t>
            </w:r>
          </w:p>
        </w:tc>
        <w:tc>
          <w:tcPr>
            <w:tcW w:w="1847" w:type="dxa"/>
          </w:tcPr>
          <w:p w14:paraId="38ED213B" w14:textId="77777777" w:rsidR="00EA402B" w:rsidRPr="00104E5F" w:rsidRDefault="00EA402B" w:rsidP="00FA7A97"/>
        </w:tc>
        <w:tc>
          <w:tcPr>
            <w:tcW w:w="1973" w:type="dxa"/>
          </w:tcPr>
          <w:p w14:paraId="7C20A44E" w14:textId="77777777" w:rsidR="00EA402B" w:rsidRPr="00104E5F" w:rsidRDefault="00EA402B" w:rsidP="00FA7A97"/>
        </w:tc>
        <w:tc>
          <w:tcPr>
            <w:tcW w:w="1484" w:type="dxa"/>
          </w:tcPr>
          <w:p w14:paraId="46AF3AB4" w14:textId="77777777" w:rsidR="00EA402B" w:rsidRPr="00104E5F" w:rsidRDefault="00EA402B" w:rsidP="00FA7A97"/>
        </w:tc>
        <w:tc>
          <w:tcPr>
            <w:tcW w:w="2075" w:type="dxa"/>
          </w:tcPr>
          <w:p w14:paraId="0B4C364E" w14:textId="59590204" w:rsidR="00EA402B" w:rsidRPr="00104E5F" w:rsidRDefault="00EA402B" w:rsidP="00FA7A97"/>
        </w:tc>
      </w:tr>
      <w:tr w:rsidR="00EA402B" w14:paraId="42B35FB2" w14:textId="77777777" w:rsidTr="00C90A0C">
        <w:tc>
          <w:tcPr>
            <w:tcW w:w="1971" w:type="dxa"/>
          </w:tcPr>
          <w:p w14:paraId="000687E0" w14:textId="0172F81E" w:rsidR="00EA402B" w:rsidRDefault="00EA402B" w:rsidP="00BB2D53">
            <w:r>
              <w:t>Maximum allowable flow at Sacramento River at Keswick</w:t>
            </w:r>
          </w:p>
        </w:tc>
        <w:tc>
          <w:tcPr>
            <w:tcW w:w="1847" w:type="dxa"/>
          </w:tcPr>
          <w:p w14:paraId="70766931" w14:textId="77777777" w:rsidR="00EA402B" w:rsidRPr="00104E5F" w:rsidRDefault="00EA402B" w:rsidP="00E24106">
            <w:r w:rsidRPr="00104E5F">
              <w:t>Aug: 10,000 cfs</w:t>
            </w:r>
          </w:p>
          <w:p w14:paraId="159745AA" w14:textId="09AE610F" w:rsidR="00EA402B" w:rsidRPr="00104E5F" w:rsidRDefault="00EA402B" w:rsidP="00E24106">
            <w:r w:rsidRPr="00104E5F">
              <w:t>Sep: 12,000 cfs</w:t>
            </w:r>
          </w:p>
        </w:tc>
        <w:tc>
          <w:tcPr>
            <w:tcW w:w="1973" w:type="dxa"/>
          </w:tcPr>
          <w:p w14:paraId="67584174" w14:textId="19499D1B" w:rsidR="00EA402B" w:rsidRPr="00104E5F" w:rsidRDefault="00EA402B" w:rsidP="00FA7A97">
            <w:r w:rsidRPr="00104E5F">
              <w:t>None</w:t>
            </w:r>
          </w:p>
        </w:tc>
        <w:tc>
          <w:tcPr>
            <w:tcW w:w="1484" w:type="dxa"/>
          </w:tcPr>
          <w:p w14:paraId="7FCC6130" w14:textId="77777777" w:rsidR="0078272A" w:rsidRPr="00104E5F" w:rsidRDefault="0078272A" w:rsidP="0078272A">
            <w:r w:rsidRPr="00104E5F">
              <w:t>Aug: 10,000 cfs</w:t>
            </w:r>
          </w:p>
          <w:p w14:paraId="49E80CFA" w14:textId="5EB96C9D" w:rsidR="00EA402B" w:rsidRDefault="0078272A" w:rsidP="0078272A">
            <w:r w:rsidRPr="00104E5F">
              <w:t>Sep: 12,000 cfs</w:t>
            </w:r>
          </w:p>
        </w:tc>
        <w:tc>
          <w:tcPr>
            <w:tcW w:w="2075" w:type="dxa"/>
          </w:tcPr>
          <w:p w14:paraId="3FD3FD90" w14:textId="14D521A0" w:rsidR="00EA402B" w:rsidRPr="00104E5F" w:rsidRDefault="00EA402B" w:rsidP="00FA7A97">
            <w:r>
              <w:t>According to Rice Decomposition Smoothing action, October – November releases must be similar</w:t>
            </w:r>
            <w:r w:rsidR="009216C1">
              <w:t>.</w:t>
            </w:r>
          </w:p>
        </w:tc>
      </w:tr>
      <w:tr w:rsidR="00EA402B" w14:paraId="5005F3BD" w14:textId="77777777" w:rsidTr="00C90A0C">
        <w:tc>
          <w:tcPr>
            <w:tcW w:w="1971" w:type="dxa"/>
          </w:tcPr>
          <w:p w14:paraId="4861DC41" w14:textId="4231D5F4" w:rsidR="00EA402B" w:rsidRDefault="00EA402B" w:rsidP="00BB2D53">
            <w:r>
              <w:t>Maximum volume</w:t>
            </w:r>
          </w:p>
        </w:tc>
        <w:tc>
          <w:tcPr>
            <w:tcW w:w="1847" w:type="dxa"/>
          </w:tcPr>
          <w:p w14:paraId="6D4B757A" w14:textId="27FC3CFD" w:rsidR="00EA402B" w:rsidRPr="00104E5F" w:rsidRDefault="00EA402B" w:rsidP="00FA7A97">
            <w:r w:rsidRPr="00104E5F">
              <w:t>Limited to Banks Pumping Plant Capacity</w:t>
            </w:r>
          </w:p>
        </w:tc>
        <w:tc>
          <w:tcPr>
            <w:tcW w:w="1973" w:type="dxa"/>
          </w:tcPr>
          <w:p w14:paraId="02E6B2F9" w14:textId="1F5ABFB4" w:rsidR="00EA402B" w:rsidRPr="00104E5F" w:rsidRDefault="00EA402B" w:rsidP="00FA7A97">
            <w:r w:rsidRPr="00104E5F">
              <w:t>None</w:t>
            </w:r>
          </w:p>
        </w:tc>
        <w:tc>
          <w:tcPr>
            <w:tcW w:w="1484" w:type="dxa"/>
          </w:tcPr>
          <w:p w14:paraId="0D753668" w14:textId="6E62E697" w:rsidR="00EA402B" w:rsidRPr="00104E5F" w:rsidRDefault="001052DC" w:rsidP="00FA7A97">
            <w:r w:rsidRPr="00104E5F">
              <w:t>Limited to Banks Pumping Plant Capacity</w:t>
            </w:r>
          </w:p>
        </w:tc>
        <w:tc>
          <w:tcPr>
            <w:tcW w:w="2075" w:type="dxa"/>
          </w:tcPr>
          <w:p w14:paraId="676CB26D" w14:textId="59BEF2CB" w:rsidR="00EA402B" w:rsidRPr="00104E5F" w:rsidRDefault="00EA402B" w:rsidP="00FA7A97"/>
        </w:tc>
      </w:tr>
    </w:tbl>
    <w:p w14:paraId="492C928C" w14:textId="5F569826" w:rsidR="00791856" w:rsidRPr="00BB0190" w:rsidRDefault="00BB0190" w:rsidP="00BB2D53">
      <w:r>
        <w:rPr>
          <w:vertAlign w:val="superscript"/>
        </w:rPr>
        <w:t>1</w:t>
      </w:r>
      <w:r w:rsidR="005774BA">
        <w:t xml:space="preserve">Several assumptions are required to assume exchange operation criteria per ROC on LTO operations. </w:t>
      </w:r>
      <w:r w:rsidR="00E00E42">
        <w:t>Main assumptions are provided in “Notes” column.</w:t>
      </w:r>
    </w:p>
    <w:p w14:paraId="588FFABC" w14:textId="77777777" w:rsidR="00791856" w:rsidRDefault="00791856" w:rsidP="00BB2D53"/>
    <w:p w14:paraId="336E6EB2" w14:textId="60F1DB2B" w:rsidR="0048532E" w:rsidRDefault="00586D51" w:rsidP="00BB2D53">
      <w:pPr>
        <w:pStyle w:val="Heading2"/>
        <w:pageBreakBefore/>
        <w:spacing w:after="240"/>
      </w:pPr>
      <w:r>
        <w:lastRenderedPageBreak/>
        <w:t>Summary of ROC on LTO Cold</w:t>
      </w:r>
      <w:r w:rsidR="00E9122A">
        <w:t xml:space="preserve"> W</w:t>
      </w:r>
      <w:r>
        <w:t>ater Pool Management</w:t>
      </w:r>
    </w:p>
    <w:p w14:paraId="373DE63D" w14:textId="5E4F9C8B" w:rsidR="004762E5" w:rsidRDefault="00D22DFB">
      <w:r>
        <w:t xml:space="preserve">In </w:t>
      </w:r>
      <w:r w:rsidR="009D3DD8">
        <w:t xml:space="preserve">the </w:t>
      </w:r>
      <w:r>
        <w:t>ROC on LTO Alternative 1 description, Reclamation propose</w:t>
      </w:r>
      <w:r w:rsidR="009D3DD8">
        <w:t>s</w:t>
      </w:r>
      <w:r>
        <w:t xml:space="preserve"> changes to cold water pool management during the temperature management period: May 15</w:t>
      </w:r>
      <w:r w:rsidRPr="00D22DFB">
        <w:rPr>
          <w:vertAlign w:val="superscript"/>
        </w:rPr>
        <w:t>th</w:t>
      </w:r>
      <w:r>
        <w:t xml:space="preserve"> to October 31</w:t>
      </w:r>
      <w:r w:rsidRPr="00D22DFB">
        <w:rPr>
          <w:vertAlign w:val="superscript"/>
        </w:rPr>
        <w:t>st</w:t>
      </w:r>
      <w:r>
        <w:t xml:space="preserve"> or when 95% of Winter-Run Chinook Salmon eggs have hatched and alevin have emerged, whichever is earlier. During the temperature management period, </w:t>
      </w:r>
      <w:r w:rsidR="008C4C5B">
        <w:t>Reclamation will implement a tiered strategy based on Shasta cold water pool</w:t>
      </w:r>
      <w:r w:rsidR="00623A3D">
        <w:t xml:space="preserve"> or total Shasta storage</w:t>
      </w:r>
      <w:r w:rsidR="008C4C5B">
        <w:t>:</w:t>
      </w:r>
    </w:p>
    <w:p w14:paraId="5405C17A" w14:textId="1C932E40" w:rsidR="008C4C5B" w:rsidRDefault="008C4C5B" w:rsidP="008C4C5B">
      <w:pPr>
        <w:pStyle w:val="ListParagraph"/>
        <w:numPr>
          <w:ilvl w:val="0"/>
          <w:numId w:val="1"/>
        </w:numPr>
      </w:pPr>
      <w:r>
        <w:t xml:space="preserve">Tier 1: </w:t>
      </w:r>
      <w:r w:rsidR="00E56292">
        <w:t>May 1</w:t>
      </w:r>
      <w:r w:rsidR="00E56292" w:rsidRPr="00E56292">
        <w:rPr>
          <w:vertAlign w:val="superscript"/>
        </w:rPr>
        <w:t>st</w:t>
      </w:r>
      <w:r w:rsidR="00E56292">
        <w:t xml:space="preserve"> </w:t>
      </w:r>
      <w:r>
        <w:t>cold water pool &gt; 2.8 MAF (total Shasta storage &gt; 4.1 MAF)</w:t>
      </w:r>
    </w:p>
    <w:p w14:paraId="3D29DF72" w14:textId="2F357277" w:rsidR="008C4C5B" w:rsidRDefault="008C4C5B" w:rsidP="008C4C5B">
      <w:pPr>
        <w:pStyle w:val="ListParagraph"/>
        <w:numPr>
          <w:ilvl w:val="1"/>
          <w:numId w:val="1"/>
        </w:numPr>
      </w:pPr>
      <w:r>
        <w:t xml:space="preserve">Daily average temperature of 53.5 deg F at Sacramento River below Clear Creek (CCR) </w:t>
      </w:r>
      <w:r w:rsidR="00D22DFB">
        <w:t>throughout temperature management period</w:t>
      </w:r>
    </w:p>
    <w:p w14:paraId="70C8CDE4" w14:textId="62EB5176" w:rsidR="008C4C5B" w:rsidRDefault="008C4C5B" w:rsidP="008C4C5B">
      <w:pPr>
        <w:pStyle w:val="ListParagraph"/>
        <w:numPr>
          <w:ilvl w:val="0"/>
          <w:numId w:val="1"/>
        </w:numPr>
      </w:pPr>
      <w:r>
        <w:t xml:space="preserve">Tier 2: </w:t>
      </w:r>
      <w:r w:rsidR="00E56292">
        <w:t>May 1</w:t>
      </w:r>
      <w:r w:rsidR="00E56292" w:rsidRPr="00E56292">
        <w:rPr>
          <w:vertAlign w:val="superscript"/>
        </w:rPr>
        <w:t>st</w:t>
      </w:r>
      <w:r w:rsidR="00E56292">
        <w:t xml:space="preserve"> </w:t>
      </w:r>
      <w:r>
        <w:t xml:space="preserve">cold water pool &gt; 2.3 MAF (total Shasta storage &gt; </w:t>
      </w:r>
      <w:r w:rsidR="00D22DFB">
        <w:t>3</w:t>
      </w:r>
      <w:r>
        <w:t>.</w:t>
      </w:r>
      <w:r w:rsidR="00D22DFB">
        <w:t>5</w:t>
      </w:r>
      <w:r>
        <w:t xml:space="preserve"> MAF)</w:t>
      </w:r>
    </w:p>
    <w:p w14:paraId="36C0C69A" w14:textId="7B9EBC05" w:rsidR="008C4C5B" w:rsidRDefault="00E8198F" w:rsidP="008C4C5B">
      <w:pPr>
        <w:pStyle w:val="ListParagraph"/>
        <w:numPr>
          <w:ilvl w:val="1"/>
          <w:numId w:val="1"/>
        </w:numPr>
      </w:pPr>
      <w:r>
        <w:t>D</w:t>
      </w:r>
      <w:r w:rsidR="008C4C5B">
        <w:t>aily average temperature of 53.5 deg F at CCR during hatch period</w:t>
      </w:r>
      <w:r w:rsidR="00D22DFB">
        <w:t xml:space="preserve"> </w:t>
      </w:r>
      <w:r>
        <w:t>(</w:t>
      </w:r>
      <w:r w:rsidR="00D22DFB">
        <w:t>when highest concentration of hatching occurs</w:t>
      </w:r>
      <w:r w:rsidR="00536B43">
        <w:t xml:space="preserve">; estimated as </w:t>
      </w:r>
      <w:r w:rsidR="00F56351">
        <w:t xml:space="preserve">2 months </w:t>
      </w:r>
      <w:r w:rsidR="00536B43">
        <w:t>centered on August 7th</w:t>
      </w:r>
      <w:r>
        <w:t>)</w:t>
      </w:r>
    </w:p>
    <w:p w14:paraId="621571C0" w14:textId="680605EC" w:rsidR="008C4C5B" w:rsidRDefault="00E8198F" w:rsidP="008C4C5B">
      <w:pPr>
        <w:pStyle w:val="ListParagraph"/>
        <w:numPr>
          <w:ilvl w:val="1"/>
          <w:numId w:val="1"/>
        </w:numPr>
      </w:pPr>
      <w:r>
        <w:t>D</w:t>
      </w:r>
      <w:r w:rsidR="008C4C5B">
        <w:t>aily average temperature of 56 deg F at CCR for</w:t>
      </w:r>
      <w:r w:rsidR="00DB4830">
        <w:t xml:space="preserve"> the</w:t>
      </w:r>
      <w:r w:rsidR="008C4C5B">
        <w:t xml:space="preserve"> rest of</w:t>
      </w:r>
      <w:r w:rsidR="00DB4830">
        <w:t xml:space="preserve"> the</w:t>
      </w:r>
      <w:r w:rsidR="008C4C5B">
        <w:t xml:space="preserve"> temperature management period (before and after hatch period)</w:t>
      </w:r>
    </w:p>
    <w:p w14:paraId="4E36BFC4" w14:textId="78A1182C" w:rsidR="008C4C5B" w:rsidRDefault="008C4C5B" w:rsidP="008C4C5B">
      <w:pPr>
        <w:pStyle w:val="ListParagraph"/>
        <w:numPr>
          <w:ilvl w:val="0"/>
          <w:numId w:val="1"/>
        </w:numPr>
      </w:pPr>
      <w:r>
        <w:t xml:space="preserve">Tier 3: </w:t>
      </w:r>
      <w:r w:rsidR="00E56292">
        <w:t>May 1</w:t>
      </w:r>
      <w:r w:rsidR="00E56292" w:rsidRPr="00E56292">
        <w:rPr>
          <w:vertAlign w:val="superscript"/>
        </w:rPr>
        <w:t>st</w:t>
      </w:r>
      <w:r w:rsidR="00E56292">
        <w:t xml:space="preserve"> </w:t>
      </w:r>
      <w:r>
        <w:t>total Shasta storage &gt; 2.5 MAF</w:t>
      </w:r>
    </w:p>
    <w:p w14:paraId="4E7CE504" w14:textId="1C70C73A" w:rsidR="008C4C5B" w:rsidRDefault="00D22DFB" w:rsidP="008C4C5B">
      <w:pPr>
        <w:pStyle w:val="ListParagraph"/>
        <w:numPr>
          <w:ilvl w:val="1"/>
          <w:numId w:val="1"/>
        </w:numPr>
      </w:pPr>
      <w:r>
        <w:t xml:space="preserve">Allow </w:t>
      </w:r>
      <w:r w:rsidR="00296A9B">
        <w:t>daily average temperature</w:t>
      </w:r>
      <w:r w:rsidR="008C4C5B">
        <w:t xml:space="preserve"> </w:t>
      </w:r>
      <w:r>
        <w:t>above 53.5 deg F</w:t>
      </w:r>
      <w:r w:rsidR="00BB0190">
        <w:t xml:space="preserve"> (up to 56 deg F)</w:t>
      </w:r>
      <w:r w:rsidR="00296A9B">
        <w:t xml:space="preserve"> at CCR</w:t>
      </w:r>
      <w:r>
        <w:t xml:space="preserve"> during hatch period</w:t>
      </w:r>
    </w:p>
    <w:p w14:paraId="4088C213" w14:textId="3056BE8F" w:rsidR="00D22DFB" w:rsidRDefault="00D22DFB" w:rsidP="008C4C5B">
      <w:pPr>
        <w:pStyle w:val="ListParagraph"/>
        <w:numPr>
          <w:ilvl w:val="1"/>
          <w:numId w:val="1"/>
        </w:numPr>
      </w:pPr>
      <w:r>
        <w:t>Attempt to maintain daily average temperature of 56 deg F at CCR for rest of temperature management period (before and after hatch period)</w:t>
      </w:r>
    </w:p>
    <w:p w14:paraId="27CA2A0B" w14:textId="572936EF" w:rsidR="008C4C5B" w:rsidRDefault="008C4C5B" w:rsidP="008C4C5B">
      <w:pPr>
        <w:pStyle w:val="ListParagraph"/>
        <w:numPr>
          <w:ilvl w:val="0"/>
          <w:numId w:val="1"/>
        </w:numPr>
      </w:pPr>
      <w:r>
        <w:t xml:space="preserve">Tier 4: </w:t>
      </w:r>
      <w:r w:rsidR="00E56292">
        <w:t>May 1</w:t>
      </w:r>
      <w:r w:rsidR="00E56292" w:rsidRPr="00E56292">
        <w:rPr>
          <w:vertAlign w:val="superscript"/>
        </w:rPr>
        <w:t>st</w:t>
      </w:r>
      <w:r w:rsidR="00E56292">
        <w:t xml:space="preserve"> </w:t>
      </w:r>
      <w:r>
        <w:t>total Shasta storage &lt; 2.5 MAF</w:t>
      </w:r>
    </w:p>
    <w:p w14:paraId="1B9B8DD6" w14:textId="77777777" w:rsidR="00754407" w:rsidRDefault="008C4C5B" w:rsidP="008C4C5B">
      <w:pPr>
        <w:pStyle w:val="ListParagraph"/>
        <w:numPr>
          <w:ilvl w:val="1"/>
          <w:numId w:val="1"/>
        </w:numPr>
      </w:pPr>
      <w:r>
        <w:t>Discuss</w:t>
      </w:r>
      <w:r w:rsidR="00754407">
        <w:t xml:space="preserve"> following</w:t>
      </w:r>
      <w:r>
        <w:t xml:space="preserve"> intervention measures with USFWS and NMFS</w:t>
      </w:r>
      <w:r w:rsidR="00754407">
        <w:t>:</w:t>
      </w:r>
    </w:p>
    <w:p w14:paraId="5FCD8969" w14:textId="3971DDFC" w:rsidR="008C4C5B" w:rsidRDefault="00AC3ABC" w:rsidP="00754407">
      <w:pPr>
        <w:pStyle w:val="ListParagraph"/>
        <w:numPr>
          <w:ilvl w:val="2"/>
          <w:numId w:val="1"/>
        </w:numPr>
      </w:pPr>
      <w:r>
        <w:t xml:space="preserve">Reclamation would work with USFWS to increase </w:t>
      </w:r>
      <w:r w:rsidR="0000670E">
        <w:t xml:space="preserve">hatchery </w:t>
      </w:r>
      <w:r>
        <w:t>production of Winter-Run Chinook Salmon</w:t>
      </w:r>
    </w:p>
    <w:p w14:paraId="39A7E0A2" w14:textId="29D449EC" w:rsidR="0000670E" w:rsidRDefault="00C5260E" w:rsidP="00754407">
      <w:pPr>
        <w:pStyle w:val="ListParagraph"/>
        <w:numPr>
          <w:ilvl w:val="2"/>
          <w:numId w:val="1"/>
        </w:numPr>
      </w:pPr>
      <w:r>
        <w:t>Reclamation would implement a downstream trap and haul strategy for the capture and transport of juvenile Chinook Salmon and Steelhead in the Sacramento River watershed.</w:t>
      </w:r>
    </w:p>
    <w:p w14:paraId="5024BD3F" w14:textId="4D3755C9" w:rsidR="00FB5769" w:rsidRDefault="00FB5769" w:rsidP="00C90A0C">
      <w:pPr>
        <w:pStyle w:val="ListParagraph"/>
        <w:numPr>
          <w:ilvl w:val="2"/>
          <w:numId w:val="1"/>
        </w:numPr>
      </w:pPr>
      <w:r>
        <w:t>In the event of two successive years with total egg-to-fry survival less than 15% in each year, Reclamation would convene a meeting of the Regional Directors of DWR, NMFS, USFWS, and CDFW to identify and implement actions</w:t>
      </w:r>
      <w:r w:rsidR="00AD4406">
        <w:t xml:space="preserve"> to address the potential for a third year of low survival.</w:t>
      </w:r>
    </w:p>
    <w:p w14:paraId="09798022" w14:textId="6961E36D" w:rsidR="00D22DFB" w:rsidRDefault="00D22DFB" w:rsidP="00D22DFB"/>
    <w:p w14:paraId="6B5ECBC0" w14:textId="377CEA4E" w:rsidR="00D22DFB" w:rsidRDefault="00D22DFB" w:rsidP="00D22DFB">
      <w:r>
        <w:t xml:space="preserve">A decision tree of the tiered strategy is shown </w:t>
      </w:r>
      <w:r w:rsidR="00441693">
        <w:t>on page</w:t>
      </w:r>
      <w:r>
        <w:t xml:space="preserve"> </w:t>
      </w:r>
      <w:r w:rsidR="00887AD9">
        <w:t>1</w:t>
      </w:r>
      <w:r w:rsidR="00276A28">
        <w:t>2</w:t>
      </w:r>
      <w:r w:rsidR="00887AD9">
        <w:t xml:space="preserve"> </w:t>
      </w:r>
      <w:r>
        <w:t xml:space="preserve">(Figure 3.4-3 from the ROC on LTO </w:t>
      </w:r>
      <w:r w:rsidR="00E10D01">
        <w:t>FEIS</w:t>
      </w:r>
      <w:r w:rsidR="009D3DD8">
        <w:t>)</w:t>
      </w:r>
      <w:r>
        <w:t xml:space="preserve">. </w:t>
      </w:r>
    </w:p>
    <w:p w14:paraId="42EFA73B" w14:textId="77777777" w:rsidR="00E9122A" w:rsidRDefault="00E9122A" w:rsidP="00D22DFB"/>
    <w:p w14:paraId="3AF8B88F" w14:textId="4BB331BB" w:rsidR="00083B9F" w:rsidRDefault="00083B9F" w:rsidP="00083B9F">
      <w:pPr>
        <w:pStyle w:val="Heading2"/>
        <w:pageBreakBefore/>
        <w:spacing w:after="240"/>
      </w:pPr>
      <w:r>
        <w:lastRenderedPageBreak/>
        <w:t>Preliminary Analysis of Shasta Exchange Frequency</w:t>
      </w:r>
      <w:r w:rsidR="00FE3679">
        <w:t xml:space="preserve"> and Benefits</w:t>
      </w:r>
    </w:p>
    <w:p w14:paraId="72CD1CA3" w14:textId="4E359398" w:rsidR="00083B9F" w:rsidRDefault="00083B9F" w:rsidP="00083B9F">
      <w:r>
        <w:t>This section assesses the frequency of potential Shasta exchanges by considering model results from the ROC on LTO FEIS and criteria described in “Criteria per ROC on LTO Alternative 1 Description.” Estimated number of years, flow and temperature conditions, degree of benefit to Winter-Run Chinook Salmon, and limitations to the analysis are detailed below.</w:t>
      </w:r>
    </w:p>
    <w:p w14:paraId="41D09F7D" w14:textId="622AC861" w:rsidR="00083B9F" w:rsidRDefault="00083B9F" w:rsidP="00083B9F">
      <w:r>
        <w:t xml:space="preserve">Shasta exchange with Sites could occur in Dry and Critical years that are operated to temperature management tiers 2 or 3. Occurrence of years for a given water year type and temperature management tier is displayed in Table 1 (below). Therefore, based on this qualitative analysis, Shasta exchange could benefit cold water pool management in 14 years (highlighted cells in Table 1), or </w:t>
      </w:r>
      <w:r w:rsidR="001A2D22">
        <w:t>44</w:t>
      </w:r>
      <w:r>
        <w:t xml:space="preserve">% of </w:t>
      </w:r>
      <w:r w:rsidR="00471D7F">
        <w:t>D</w:t>
      </w:r>
      <w:r w:rsidR="001A2D22">
        <w:t xml:space="preserve">ry and </w:t>
      </w:r>
      <w:r w:rsidR="00471D7F">
        <w:t>C</w:t>
      </w:r>
      <w:r w:rsidR="001A2D22">
        <w:t>ritical years in the</w:t>
      </w:r>
      <w:r>
        <w:t xml:space="preserve"> planning simulation period. </w:t>
      </w:r>
    </w:p>
    <w:p w14:paraId="7B834510" w14:textId="77777777" w:rsidR="00083B9F" w:rsidRDefault="00083B9F" w:rsidP="00083B9F">
      <w:r>
        <w:t>It should be noted that all ROC on LTO modeling was conducted with future climate conditions (ELT Q5), representative of 2025. Probability of years during which Shasta exchange may benefit water supply and aquatic resource is subject to assumed climate conditions in the modeling.</w:t>
      </w:r>
    </w:p>
    <w:p w14:paraId="75FD8207" w14:textId="77777777" w:rsidR="00083B9F" w:rsidRPr="001F3EEA" w:rsidRDefault="00083B9F" w:rsidP="00083B9F">
      <w:pPr>
        <w:spacing w:after="0"/>
      </w:pPr>
      <w:r>
        <w:t>Table 1: Number of years in a given water year type (WYT) and temperature management tier</w:t>
      </w:r>
    </w:p>
    <w:tbl>
      <w:tblPr>
        <w:tblW w:w="4800" w:type="dxa"/>
        <w:tblInd w:w="2" w:type="dxa"/>
        <w:tblCellMar>
          <w:left w:w="0" w:type="dxa"/>
          <w:right w:w="0" w:type="dxa"/>
        </w:tblCellMar>
        <w:tblLook w:val="04A0" w:firstRow="1" w:lastRow="0" w:firstColumn="1" w:lastColumn="0" w:noHBand="0" w:noVBand="1"/>
      </w:tblPr>
      <w:tblGrid>
        <w:gridCol w:w="960"/>
        <w:gridCol w:w="960"/>
        <w:gridCol w:w="960"/>
        <w:gridCol w:w="960"/>
        <w:gridCol w:w="960"/>
      </w:tblGrid>
      <w:tr w:rsidR="00083B9F" w14:paraId="32C97023" w14:textId="77777777" w:rsidTr="0029721F">
        <w:trPr>
          <w:trHeight w:val="300"/>
        </w:trPr>
        <w:tc>
          <w:tcPr>
            <w:tcW w:w="96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723344" w14:textId="77777777" w:rsidR="00083B9F" w:rsidRDefault="00083B9F" w:rsidP="0029721F">
            <w:pPr>
              <w:jc w:val="center"/>
              <w:rPr>
                <w:b/>
                <w:bCs/>
                <w:color w:val="000000"/>
              </w:rPr>
            </w:pPr>
            <w:r>
              <w:rPr>
                <w:b/>
                <w:bCs/>
                <w:color w:val="000000"/>
              </w:rPr>
              <w:t>WYT</w:t>
            </w:r>
          </w:p>
        </w:tc>
        <w:tc>
          <w:tcPr>
            <w:tcW w:w="3840" w:type="dxa"/>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14:paraId="4D2580C2" w14:textId="77777777" w:rsidR="00083B9F" w:rsidRDefault="00083B9F" w:rsidP="0029721F">
            <w:pPr>
              <w:jc w:val="center"/>
              <w:rPr>
                <w:b/>
                <w:bCs/>
                <w:color w:val="000000"/>
              </w:rPr>
            </w:pPr>
            <w:r>
              <w:rPr>
                <w:b/>
                <w:bCs/>
                <w:color w:val="000000"/>
              </w:rPr>
              <w:t>Tier</w:t>
            </w:r>
          </w:p>
        </w:tc>
      </w:tr>
      <w:tr w:rsidR="00083B9F" w14:paraId="20BD73C7" w14:textId="77777777" w:rsidTr="0029721F">
        <w:trPr>
          <w:trHeight w:val="31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4DFCA80" w14:textId="77777777" w:rsidR="00083B9F" w:rsidRDefault="00083B9F" w:rsidP="0029721F">
            <w:pPr>
              <w:rPr>
                <w:rFonts w:ascii="Calibri" w:hAnsi="Calibri" w:cs="Calibri"/>
                <w:b/>
                <w:bCs/>
                <w:color w:val="000000"/>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87DE5" w14:textId="77777777" w:rsidR="00083B9F" w:rsidRDefault="00083B9F" w:rsidP="0029721F">
            <w:pPr>
              <w:jc w:val="center"/>
              <w:rPr>
                <w:b/>
                <w:bCs/>
                <w:color w:val="000000"/>
              </w:rPr>
            </w:pPr>
            <w:r>
              <w:rPr>
                <w:b/>
                <w:bCs/>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29B85" w14:textId="77777777" w:rsidR="00083B9F" w:rsidRDefault="00083B9F" w:rsidP="0029721F">
            <w:pPr>
              <w:jc w:val="center"/>
              <w:rPr>
                <w:b/>
                <w:bCs/>
                <w:color w:val="000000"/>
              </w:rPr>
            </w:pPr>
            <w:r>
              <w:rPr>
                <w:b/>
                <w:bCs/>
                <w:color w:val="000000"/>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53BA5" w14:textId="77777777" w:rsidR="00083B9F" w:rsidRDefault="00083B9F" w:rsidP="0029721F">
            <w:pPr>
              <w:jc w:val="center"/>
              <w:rPr>
                <w:b/>
                <w:bCs/>
                <w:color w:val="000000"/>
              </w:rPr>
            </w:pPr>
            <w:r>
              <w:rPr>
                <w:b/>
                <w:bCs/>
                <w:color w:val="000000"/>
              </w:rPr>
              <w:t>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CE0C5E" w14:textId="77777777" w:rsidR="00083B9F" w:rsidRDefault="00083B9F" w:rsidP="0029721F">
            <w:pPr>
              <w:jc w:val="center"/>
              <w:rPr>
                <w:b/>
                <w:bCs/>
                <w:color w:val="000000"/>
              </w:rPr>
            </w:pPr>
            <w:r>
              <w:rPr>
                <w:b/>
                <w:bCs/>
                <w:color w:val="000000"/>
              </w:rPr>
              <w:t>4</w:t>
            </w:r>
          </w:p>
        </w:tc>
      </w:tr>
      <w:tr w:rsidR="00083B9F" w14:paraId="0E88960C" w14:textId="77777777" w:rsidTr="0029721F">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0F55EA" w14:textId="77777777" w:rsidR="00083B9F" w:rsidRDefault="00083B9F" w:rsidP="0029721F">
            <w:pPr>
              <w:jc w:val="center"/>
              <w:rPr>
                <w:b/>
                <w:bCs/>
                <w:color w:val="000000"/>
              </w:rPr>
            </w:pPr>
            <w:r>
              <w:rPr>
                <w:b/>
                <w:bCs/>
                <w:color w:val="000000"/>
              </w:rPr>
              <w:t>W</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5FA376" w14:textId="77777777" w:rsidR="00083B9F" w:rsidRDefault="00083B9F" w:rsidP="0029721F">
            <w:pPr>
              <w:jc w:val="center"/>
              <w:rPr>
                <w:color w:val="000000"/>
              </w:rPr>
            </w:pPr>
            <w:r>
              <w:rPr>
                <w:color w:val="000000"/>
              </w:rPr>
              <w:t>22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EBB36" w14:textId="77777777" w:rsidR="00083B9F" w:rsidRDefault="00083B9F" w:rsidP="0029721F">
            <w:pPr>
              <w:jc w:val="center"/>
              <w:rPr>
                <w:color w:val="000000"/>
              </w:rPr>
            </w:pPr>
            <w:r>
              <w:rPr>
                <w:color w:val="000000"/>
              </w:rPr>
              <w:t>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30DC2F" w14:textId="77777777" w:rsidR="00083B9F" w:rsidRDefault="00083B9F" w:rsidP="0029721F">
            <w:pPr>
              <w:jc w:val="center"/>
              <w:rPr>
                <w:color w:val="000000"/>
              </w:rPr>
            </w:pPr>
            <w:r>
              <w:rPr>
                <w:color w:val="000000"/>
              </w:rPr>
              <w:t>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7BE18C" w14:textId="77777777" w:rsidR="00083B9F" w:rsidRDefault="00083B9F" w:rsidP="0029721F">
            <w:pPr>
              <w:jc w:val="center"/>
              <w:rPr>
                <w:color w:val="000000"/>
              </w:rPr>
            </w:pPr>
            <w:r>
              <w:rPr>
                <w:color w:val="000000"/>
              </w:rPr>
              <w:t>0</w:t>
            </w:r>
          </w:p>
        </w:tc>
      </w:tr>
      <w:tr w:rsidR="00083B9F" w14:paraId="463D3BAF" w14:textId="77777777" w:rsidTr="0029721F">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F10A33" w14:textId="77777777" w:rsidR="00083B9F" w:rsidRDefault="00083B9F" w:rsidP="0029721F">
            <w:pPr>
              <w:jc w:val="center"/>
              <w:rPr>
                <w:b/>
                <w:bCs/>
                <w:color w:val="000000"/>
              </w:rPr>
            </w:pPr>
            <w:r>
              <w:rPr>
                <w:b/>
                <w:bCs/>
                <w:color w:val="000000"/>
              </w:rPr>
              <w:t>AN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11713" w14:textId="77777777" w:rsidR="00083B9F" w:rsidRDefault="00083B9F" w:rsidP="0029721F">
            <w:pPr>
              <w:jc w:val="center"/>
              <w:rPr>
                <w:color w:val="000000"/>
              </w:rPr>
            </w:pPr>
            <w:r>
              <w:rPr>
                <w:color w:val="000000"/>
              </w:rPr>
              <w:t>13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F17DC" w14:textId="77777777" w:rsidR="00083B9F" w:rsidRDefault="00083B9F" w:rsidP="0029721F">
            <w:pPr>
              <w:jc w:val="center"/>
              <w:rPr>
                <w:color w:val="000000"/>
              </w:rPr>
            </w:pPr>
            <w:r>
              <w:rPr>
                <w:color w:val="000000"/>
              </w:rPr>
              <w:t>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C3123C" w14:textId="77777777" w:rsidR="00083B9F" w:rsidRDefault="00083B9F" w:rsidP="0029721F">
            <w:pPr>
              <w:jc w:val="center"/>
              <w:rPr>
                <w:color w:val="000000"/>
              </w:rPr>
            </w:pPr>
            <w:r>
              <w:rPr>
                <w:color w:val="000000"/>
              </w:rPr>
              <w:t>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9F744A" w14:textId="77777777" w:rsidR="00083B9F" w:rsidRDefault="00083B9F" w:rsidP="0029721F">
            <w:pPr>
              <w:jc w:val="center"/>
              <w:rPr>
                <w:color w:val="000000"/>
              </w:rPr>
            </w:pPr>
            <w:r>
              <w:rPr>
                <w:color w:val="000000"/>
              </w:rPr>
              <w:t>0</w:t>
            </w:r>
          </w:p>
        </w:tc>
      </w:tr>
      <w:tr w:rsidR="00083B9F" w14:paraId="2349F18A" w14:textId="77777777" w:rsidTr="0029721F">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6278BB5" w14:textId="77777777" w:rsidR="00083B9F" w:rsidRDefault="00083B9F" w:rsidP="0029721F">
            <w:pPr>
              <w:jc w:val="center"/>
              <w:rPr>
                <w:b/>
                <w:bCs/>
                <w:color w:val="000000"/>
              </w:rPr>
            </w:pPr>
            <w:r>
              <w:rPr>
                <w:b/>
                <w:bCs/>
                <w:color w:val="000000"/>
              </w:rPr>
              <w:t>BN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75E25" w14:textId="77777777" w:rsidR="00083B9F" w:rsidRDefault="00083B9F" w:rsidP="0029721F">
            <w:pPr>
              <w:jc w:val="center"/>
              <w:rPr>
                <w:color w:val="000000"/>
              </w:rPr>
            </w:pPr>
            <w:r>
              <w:rPr>
                <w:color w:val="000000"/>
              </w:rPr>
              <w:t>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537E8B" w14:textId="77777777" w:rsidR="00083B9F" w:rsidRDefault="00083B9F" w:rsidP="0029721F">
            <w:pPr>
              <w:jc w:val="center"/>
              <w:rPr>
                <w:color w:val="000000"/>
              </w:rPr>
            </w:pPr>
            <w:r>
              <w:rPr>
                <w:color w:val="000000"/>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2A70D0" w14:textId="77777777" w:rsidR="00083B9F" w:rsidRDefault="00083B9F" w:rsidP="0029721F">
            <w:pPr>
              <w:jc w:val="center"/>
              <w:rPr>
                <w:color w:val="000000"/>
              </w:rPr>
            </w:pPr>
            <w:r>
              <w:rPr>
                <w:color w:val="000000"/>
              </w:rPr>
              <w:t>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36BEFE" w14:textId="77777777" w:rsidR="00083B9F" w:rsidRDefault="00083B9F" w:rsidP="0029721F">
            <w:pPr>
              <w:jc w:val="center"/>
              <w:rPr>
                <w:color w:val="000000"/>
              </w:rPr>
            </w:pPr>
            <w:r>
              <w:rPr>
                <w:color w:val="000000"/>
              </w:rPr>
              <w:t>0</w:t>
            </w:r>
          </w:p>
        </w:tc>
      </w:tr>
      <w:tr w:rsidR="00083B9F" w14:paraId="2EBE4E17" w14:textId="77777777" w:rsidTr="0029721F">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C3F7BF" w14:textId="77777777" w:rsidR="00083B9F" w:rsidRDefault="00083B9F" w:rsidP="0029721F">
            <w:pPr>
              <w:jc w:val="center"/>
              <w:rPr>
                <w:b/>
                <w:bCs/>
                <w:color w:val="000000"/>
              </w:rPr>
            </w:pPr>
            <w:r>
              <w:rPr>
                <w:b/>
                <w:bCs/>
                <w:color w:val="000000"/>
              </w:rPr>
              <w:t>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045892" w14:textId="77777777" w:rsidR="00083B9F" w:rsidRDefault="00083B9F" w:rsidP="0029721F">
            <w:pPr>
              <w:jc w:val="center"/>
              <w:rPr>
                <w:color w:val="000000"/>
              </w:rPr>
            </w:pPr>
            <w:r>
              <w:rPr>
                <w:color w:val="000000"/>
              </w:rPr>
              <w:t>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68805" w14:textId="77777777" w:rsidR="00083B9F" w:rsidRPr="003A2FF0" w:rsidRDefault="00083B9F" w:rsidP="0029721F">
            <w:pPr>
              <w:jc w:val="center"/>
              <w:rPr>
                <w:color w:val="000000"/>
                <w:highlight w:val="yellow"/>
              </w:rPr>
            </w:pPr>
            <w:r w:rsidRPr="00262E5C">
              <w:rPr>
                <w:color w:val="000000"/>
                <w:highlight w:val="yellow"/>
              </w:rPr>
              <w:t>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FD62" w14:textId="77777777" w:rsidR="00083B9F" w:rsidRPr="00333890" w:rsidRDefault="00083B9F" w:rsidP="0029721F">
            <w:pPr>
              <w:jc w:val="center"/>
              <w:rPr>
                <w:color w:val="000000"/>
                <w:highlight w:val="yellow"/>
              </w:rPr>
            </w:pPr>
            <w:r w:rsidRPr="00333890">
              <w:rPr>
                <w:color w:val="000000"/>
                <w:highlight w:val="yellow"/>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718313" w14:textId="77777777" w:rsidR="00083B9F" w:rsidRDefault="00083B9F" w:rsidP="0029721F">
            <w:pPr>
              <w:jc w:val="center"/>
              <w:rPr>
                <w:color w:val="000000"/>
              </w:rPr>
            </w:pPr>
            <w:r>
              <w:rPr>
                <w:color w:val="000000"/>
              </w:rPr>
              <w:t>0</w:t>
            </w:r>
          </w:p>
        </w:tc>
      </w:tr>
      <w:tr w:rsidR="00083B9F" w14:paraId="72BC24C2" w14:textId="77777777" w:rsidTr="0029721F">
        <w:trPr>
          <w:trHeight w:val="31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5C68832" w14:textId="77777777" w:rsidR="00083B9F" w:rsidRDefault="00083B9F" w:rsidP="0029721F">
            <w:pPr>
              <w:jc w:val="center"/>
              <w:rPr>
                <w:b/>
                <w:bCs/>
                <w:color w:val="000000"/>
              </w:rPr>
            </w:pPr>
            <w:r>
              <w:rPr>
                <w:b/>
                <w:bCs/>
                <w:color w:val="000000"/>
              </w:rPr>
              <w:t>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3B6B6" w14:textId="77777777" w:rsidR="00083B9F" w:rsidRDefault="00083B9F" w:rsidP="0029721F">
            <w:pPr>
              <w:jc w:val="center"/>
              <w:rPr>
                <w:color w:val="000000"/>
              </w:rPr>
            </w:pPr>
            <w:r>
              <w:rPr>
                <w:color w:val="000000"/>
              </w:rPr>
              <w:t>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654812" w14:textId="77777777" w:rsidR="00083B9F" w:rsidRPr="003A2FF0" w:rsidRDefault="00083B9F" w:rsidP="0029721F">
            <w:pPr>
              <w:jc w:val="center"/>
              <w:rPr>
                <w:color w:val="000000"/>
                <w:highlight w:val="yellow"/>
              </w:rPr>
            </w:pPr>
            <w:r w:rsidRPr="00262E5C">
              <w:rPr>
                <w:color w:val="000000"/>
                <w:highlight w:val="yellow"/>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8AC038" w14:textId="77777777" w:rsidR="00083B9F" w:rsidRPr="00333890" w:rsidRDefault="00083B9F" w:rsidP="0029721F">
            <w:pPr>
              <w:jc w:val="center"/>
              <w:rPr>
                <w:color w:val="000000"/>
                <w:highlight w:val="yellow"/>
              </w:rPr>
            </w:pPr>
            <w:r w:rsidRPr="00333890">
              <w:rPr>
                <w:color w:val="000000"/>
                <w:highlight w:val="yellow"/>
              </w:rPr>
              <w:t>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FCEA7B" w14:textId="77777777" w:rsidR="00083B9F" w:rsidRDefault="00083B9F" w:rsidP="0029721F">
            <w:pPr>
              <w:jc w:val="center"/>
              <w:rPr>
                <w:color w:val="000000"/>
              </w:rPr>
            </w:pPr>
            <w:r>
              <w:rPr>
                <w:color w:val="000000"/>
              </w:rPr>
              <w:t>6</w:t>
            </w:r>
          </w:p>
        </w:tc>
      </w:tr>
    </w:tbl>
    <w:p w14:paraId="36DB0988" w14:textId="77777777" w:rsidR="00083B9F" w:rsidRDefault="00083B9F" w:rsidP="00083B9F"/>
    <w:p w14:paraId="0C098558" w14:textId="2A9C2820" w:rsidR="00083B9F" w:rsidRDefault="00083B9F" w:rsidP="00083B9F">
      <w:r>
        <w:t xml:space="preserve">In these 14 years, flow and temperature conditions must be maintained to protect existing water supply and aquatic resources conditions. During the exchange period (April – June), flow at Sacramento below Keswick must remain at or above 6,000 cfs in April and May and 10,000 cfs in June. Furthermore, during the exchange period, daily average temperature at Sacramento River below Clear Creek must remain lower than 56 degrees Fahrenheit in tier 2 and 3 years. </w:t>
      </w:r>
    </w:p>
    <w:p w14:paraId="01ADE1E8" w14:textId="195997EF" w:rsidR="00083B9F" w:rsidRDefault="00083B9F" w:rsidP="00083B9F">
      <w:r>
        <w:t xml:space="preserve">Exceedance plots of Winter-Run Chinook Salmon temperature-based egg mortality in Dry and Critical years are provided </w:t>
      </w:r>
      <w:r w:rsidR="004B45C7">
        <w:t xml:space="preserve">at the end of this document </w:t>
      </w:r>
      <w:r>
        <w:t xml:space="preserve">(Figures 1-5 and 1-6 </w:t>
      </w:r>
      <w:r w:rsidR="00E80FB7">
        <w:t>from</w:t>
      </w:r>
      <w:r>
        <w:t xml:space="preserve"> ROC </w:t>
      </w:r>
      <w:r w:rsidR="00E80FB7">
        <w:t>on</w:t>
      </w:r>
      <w:r>
        <w:t xml:space="preserve"> LTO FEIR Appendix F Attachment 3-8). There is a wide range in temperature-based egg mortality within </w:t>
      </w:r>
      <w:r w:rsidR="00471D7F">
        <w:t xml:space="preserve">Dry </w:t>
      </w:r>
      <w:r>
        <w:t xml:space="preserve">and </w:t>
      </w:r>
      <w:r w:rsidR="00471D7F">
        <w:t xml:space="preserve">Critical </w:t>
      </w:r>
      <w:r>
        <w:t>years. This range indicates that, during limited storage conditions, mortality is very sensitive to changes in Shasta storage. Small increases to Shasta storage may result in very large reductions of temperature-based egg mortality. As Shasta exchange would only occur in years with limited Shasta storage, incremental storage benefits from Shasta exchange with Sites could reduce temperature-based egg mortality of Winter-Run Chinook Salmon. These reductions in mortality could yield long-term benefits for the Winter-Run Chinook Salmon population.</w:t>
      </w:r>
    </w:p>
    <w:p w14:paraId="4AFF3044" w14:textId="26BF700E" w:rsidR="00987BFC" w:rsidRDefault="00073DC7">
      <w:r>
        <w:t>A preliminary regression analysis of ROC on LTO FEIS Alternative 1 model outputs</w:t>
      </w:r>
      <w:r w:rsidR="001E740C">
        <w:t xml:space="preserve"> was conducted to estimate frequency</w:t>
      </w:r>
      <w:r w:rsidR="00150478">
        <w:t>, magnitude</w:t>
      </w:r>
      <w:r w:rsidR="001E740C">
        <w:t xml:space="preserve"> and </w:t>
      </w:r>
      <w:r w:rsidR="00150478">
        <w:t xml:space="preserve">temperature </w:t>
      </w:r>
      <w:r w:rsidR="001E740C">
        <w:t xml:space="preserve">benefits of Shasta exchange. </w:t>
      </w:r>
      <w:r w:rsidR="00E82AD9">
        <w:t>These results</w:t>
      </w:r>
      <w:r w:rsidR="00025F34">
        <w:t xml:space="preserve"> do not consider complexities captured in system operations, water temperature, or and mortality models. Additional analysis and modeling will be required to further evaluate benefits of Shasta exchange. </w:t>
      </w:r>
    </w:p>
    <w:p w14:paraId="06C0429F" w14:textId="33441B75" w:rsidR="00083B9F" w:rsidRDefault="008816F8" w:rsidP="00083B9F">
      <w:r>
        <w:t>These p</w:t>
      </w:r>
      <w:r w:rsidR="00083B9F">
        <w:t xml:space="preserve">reliminary calculations estimate that Shasta exchanges are limited to 10 years, or </w:t>
      </w:r>
      <w:r w:rsidR="009468C6">
        <w:t>31</w:t>
      </w:r>
      <w:r w:rsidR="00083B9F">
        <w:t xml:space="preserve">% </w:t>
      </w:r>
      <w:r w:rsidR="009468C6">
        <w:t xml:space="preserve">of </w:t>
      </w:r>
      <w:r w:rsidR="00471D7F">
        <w:t>D</w:t>
      </w:r>
      <w:r w:rsidR="009468C6">
        <w:t xml:space="preserve">ry and </w:t>
      </w:r>
      <w:r w:rsidR="00471D7F">
        <w:t>C</w:t>
      </w:r>
      <w:r w:rsidR="009468C6">
        <w:t>ritical years in the planning simulation period</w:t>
      </w:r>
      <w:r w:rsidR="00B76680">
        <w:t xml:space="preserve">. </w:t>
      </w:r>
      <w:r w:rsidR="003B0473">
        <w:t>Figure 1 displays an e</w:t>
      </w:r>
      <w:r w:rsidR="006414C3">
        <w:t xml:space="preserve">xceedance plot </w:t>
      </w:r>
      <w:r w:rsidR="003B0473">
        <w:t xml:space="preserve">of ROC on LTO </w:t>
      </w:r>
      <w:r w:rsidR="00024850">
        <w:t xml:space="preserve">annual </w:t>
      </w:r>
      <w:r w:rsidR="003B0473">
        <w:t>exchange volumes. S</w:t>
      </w:r>
      <w:r w:rsidR="00083B9F">
        <w:t>ummary tables of</w:t>
      </w:r>
      <w:r w:rsidR="00FD6F05">
        <w:t xml:space="preserve"> </w:t>
      </w:r>
      <w:r w:rsidR="00083B9F">
        <w:t xml:space="preserve">exchange </w:t>
      </w:r>
      <w:r w:rsidR="00D93B0B">
        <w:t xml:space="preserve">volumes </w:t>
      </w:r>
      <w:r w:rsidR="00083B9F">
        <w:t>and month</w:t>
      </w:r>
      <w:r w:rsidR="00385DE0">
        <w:t>ly summaries</w:t>
      </w:r>
      <w:r w:rsidR="00083B9F">
        <w:t xml:space="preserve"> are displayed in Tables 2 </w:t>
      </w:r>
      <w:r w:rsidR="00385DE0">
        <w:t>through 4</w:t>
      </w:r>
      <w:r w:rsidR="00083B9F">
        <w:t>.</w:t>
      </w:r>
      <w:r w:rsidR="00CE4378">
        <w:t xml:space="preserve"> </w:t>
      </w:r>
      <w:r w:rsidR="00BD7AC3">
        <w:t xml:space="preserve">In these tables, </w:t>
      </w:r>
      <w:r w:rsidR="007E6FFD">
        <w:t xml:space="preserve">number of </w:t>
      </w:r>
      <w:r w:rsidR="00333200">
        <w:t>occurrences</w:t>
      </w:r>
      <w:r w:rsidR="007E6FFD">
        <w:t xml:space="preserve">, minimum </w:t>
      </w:r>
      <w:r w:rsidR="007E6FFD" w:rsidRPr="00C54AE3">
        <w:t>volume, average volu</w:t>
      </w:r>
      <w:r w:rsidR="00D54385" w:rsidRPr="00C54AE3">
        <w:t xml:space="preserve">me of exchange </w:t>
      </w:r>
      <w:r w:rsidR="00333200" w:rsidRPr="00C54AE3">
        <w:t>in years</w:t>
      </w:r>
      <w:r w:rsidR="00C54AE3" w:rsidRPr="00C54AE3">
        <w:t xml:space="preserve"> with exchange operation</w:t>
      </w:r>
      <w:r w:rsidR="001B46DA">
        <w:t>s</w:t>
      </w:r>
      <w:r w:rsidR="00333200" w:rsidRPr="00C54AE3">
        <w:t>, and maximum exchange vol</w:t>
      </w:r>
      <w:r w:rsidR="00333200">
        <w:t>ume are provided.</w:t>
      </w:r>
      <w:r w:rsidR="00587382">
        <w:t xml:space="preserve"> </w:t>
      </w:r>
      <w:r w:rsidR="00EB29C9">
        <w:t xml:space="preserve">Due to flow criteria, exchange volumes are greater in Dry years, when flows are higher. </w:t>
      </w:r>
      <w:r w:rsidR="00587382">
        <w:t>Exchange</w:t>
      </w:r>
      <w:r w:rsidR="00EB29C9">
        <w:t xml:space="preserve"> and release</w:t>
      </w:r>
      <w:r w:rsidR="00587382">
        <w:t xml:space="preserve"> volumes are greatest in </w:t>
      </w:r>
      <w:r w:rsidR="00EB29C9">
        <w:t>May-June and August-September, respectively.</w:t>
      </w:r>
      <w:r w:rsidR="00333200">
        <w:t xml:space="preserve"> </w:t>
      </w:r>
      <w:r w:rsidR="00587382">
        <w:t>These r</w:t>
      </w:r>
      <w:r w:rsidR="003B0473">
        <w:t>esults</w:t>
      </w:r>
      <w:r w:rsidR="00A85BAA">
        <w:t xml:space="preserve"> </w:t>
      </w:r>
      <w:r w:rsidR="00CE4378">
        <w:t>are similar in frequency and magnitude as compared to results from</w:t>
      </w:r>
      <w:r w:rsidR="001F5079">
        <w:t xml:space="preserve"> the</w:t>
      </w:r>
      <w:r w:rsidR="00CE4378">
        <w:t xml:space="preserve"> initial analyses</w:t>
      </w:r>
      <w:r w:rsidR="00587382">
        <w:t xml:space="preserve"> of Shasta exchange</w:t>
      </w:r>
      <w:r w:rsidR="00CE4378">
        <w:t>.</w:t>
      </w:r>
    </w:p>
    <w:p w14:paraId="4BF95C98" w14:textId="3735CB07" w:rsidR="00EC5F7A" w:rsidRDefault="00EC5F7A" w:rsidP="00A16307">
      <w:pPr>
        <w:spacing w:after="0"/>
        <w:jc w:val="center"/>
      </w:pPr>
      <w:r>
        <w:rPr>
          <w:noProof/>
        </w:rPr>
        <w:drawing>
          <wp:inline distT="0" distB="0" distL="0" distR="0" wp14:anchorId="73DDF5DB" wp14:editId="6F845D9D">
            <wp:extent cx="5026872" cy="345607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052" cy="3464450"/>
                    </a:xfrm>
                    <a:prstGeom prst="rect">
                      <a:avLst/>
                    </a:prstGeom>
                    <a:noFill/>
                  </pic:spPr>
                </pic:pic>
              </a:graphicData>
            </a:graphic>
          </wp:inline>
        </w:drawing>
      </w:r>
    </w:p>
    <w:p w14:paraId="25BA8BAF" w14:textId="34749D96" w:rsidR="001B323E" w:rsidRDefault="001B323E">
      <w:r>
        <w:t>Figure 1:</w:t>
      </w:r>
      <w:r w:rsidR="006414C3">
        <w:t xml:space="preserve"> Exceedance Plot of </w:t>
      </w:r>
      <w:r w:rsidR="00024850">
        <w:t xml:space="preserve">Annual </w:t>
      </w:r>
      <w:r w:rsidR="006414C3">
        <w:t>Exchange Volume (TAF)</w:t>
      </w:r>
    </w:p>
    <w:p w14:paraId="4642D882" w14:textId="56DE3816" w:rsidR="005C1955" w:rsidRDefault="005C1955" w:rsidP="00A16307">
      <w:pPr>
        <w:keepNext/>
        <w:spacing w:after="0"/>
      </w:pPr>
      <w:r>
        <w:t xml:space="preserve">Table </w:t>
      </w:r>
      <w:r w:rsidR="00385DE0">
        <w:t>2</w:t>
      </w:r>
      <w:r>
        <w:t>: Summary of Exchange by Water Year Type</w:t>
      </w:r>
    </w:p>
    <w:tbl>
      <w:tblPr>
        <w:tblW w:w="9170" w:type="dxa"/>
        <w:tblLook w:val="04A0" w:firstRow="1" w:lastRow="0" w:firstColumn="1" w:lastColumn="0" w:noHBand="0" w:noVBand="1"/>
      </w:tblPr>
      <w:tblGrid>
        <w:gridCol w:w="1700"/>
        <w:gridCol w:w="1890"/>
        <w:gridCol w:w="1890"/>
        <w:gridCol w:w="1800"/>
        <w:gridCol w:w="1890"/>
      </w:tblGrid>
      <w:tr w:rsidR="005C1955" w:rsidRPr="005C1955" w14:paraId="2B4C43DF" w14:textId="77777777" w:rsidTr="005C1955">
        <w:trPr>
          <w:trHeight w:val="288"/>
        </w:trPr>
        <w:tc>
          <w:tcPr>
            <w:tcW w:w="1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8F00634" w14:textId="77777777" w:rsidR="005C1955" w:rsidRPr="005C1955" w:rsidRDefault="005C1955" w:rsidP="00A16307">
            <w:pPr>
              <w:keepNext/>
              <w:keepLines/>
              <w:spacing w:after="0" w:line="240" w:lineRule="auto"/>
              <w:jc w:val="center"/>
              <w:rPr>
                <w:rFonts w:ascii="Calibri" w:eastAsia="Times New Roman" w:hAnsi="Calibri" w:cs="Calibri"/>
                <w:b/>
                <w:bCs/>
                <w:color w:val="000000"/>
              </w:rPr>
            </w:pPr>
            <w:r w:rsidRPr="005C1955">
              <w:rPr>
                <w:rFonts w:ascii="Calibri" w:eastAsia="Times New Roman" w:hAnsi="Calibri" w:cs="Calibri"/>
                <w:b/>
                <w:bCs/>
                <w:color w:val="000000"/>
              </w:rPr>
              <w:t>WYT</w:t>
            </w:r>
          </w:p>
        </w:tc>
        <w:tc>
          <w:tcPr>
            <w:tcW w:w="1890" w:type="dxa"/>
            <w:tcBorders>
              <w:top w:val="single" w:sz="8" w:space="0" w:color="auto"/>
              <w:left w:val="nil"/>
              <w:bottom w:val="single" w:sz="4" w:space="0" w:color="auto"/>
              <w:right w:val="single" w:sz="4" w:space="0" w:color="auto"/>
            </w:tcBorders>
            <w:shd w:val="clear" w:color="auto" w:fill="auto"/>
            <w:noWrap/>
            <w:vAlign w:val="bottom"/>
            <w:hideMark/>
          </w:tcPr>
          <w:p w14:paraId="1B2ABB48" w14:textId="77777777" w:rsidR="005C1955" w:rsidRPr="005C1955" w:rsidRDefault="005C1955" w:rsidP="00A16307">
            <w:pPr>
              <w:keepNext/>
              <w:keepLines/>
              <w:spacing w:after="0" w:line="240" w:lineRule="auto"/>
              <w:jc w:val="center"/>
              <w:rPr>
                <w:rFonts w:ascii="Calibri" w:eastAsia="Times New Roman" w:hAnsi="Calibri" w:cs="Calibri"/>
                <w:b/>
                <w:bCs/>
                <w:color w:val="000000"/>
              </w:rPr>
            </w:pPr>
            <w:r w:rsidRPr="005C1955">
              <w:rPr>
                <w:rFonts w:ascii="Calibri" w:eastAsia="Times New Roman" w:hAnsi="Calibri" w:cs="Calibri"/>
                <w:b/>
                <w:bCs/>
                <w:color w:val="000000"/>
              </w:rPr>
              <w:t>Occurrences</w:t>
            </w:r>
          </w:p>
        </w:tc>
        <w:tc>
          <w:tcPr>
            <w:tcW w:w="1890" w:type="dxa"/>
            <w:tcBorders>
              <w:top w:val="single" w:sz="8" w:space="0" w:color="auto"/>
              <w:left w:val="nil"/>
              <w:bottom w:val="single" w:sz="4" w:space="0" w:color="auto"/>
              <w:right w:val="single" w:sz="4" w:space="0" w:color="auto"/>
            </w:tcBorders>
            <w:shd w:val="clear" w:color="auto" w:fill="auto"/>
            <w:noWrap/>
            <w:vAlign w:val="bottom"/>
            <w:hideMark/>
          </w:tcPr>
          <w:p w14:paraId="515F6A15" w14:textId="77777777" w:rsidR="005C1955" w:rsidRPr="005C1955" w:rsidRDefault="005C1955" w:rsidP="00A16307">
            <w:pPr>
              <w:keepNext/>
              <w:keepLines/>
              <w:spacing w:after="0" w:line="240" w:lineRule="auto"/>
              <w:jc w:val="center"/>
              <w:rPr>
                <w:rFonts w:ascii="Calibri" w:eastAsia="Times New Roman" w:hAnsi="Calibri" w:cs="Calibri"/>
                <w:b/>
                <w:bCs/>
                <w:color w:val="000000"/>
              </w:rPr>
            </w:pPr>
            <w:r w:rsidRPr="005C1955">
              <w:rPr>
                <w:rFonts w:ascii="Calibri" w:eastAsia="Times New Roman" w:hAnsi="Calibri" w:cs="Calibri"/>
                <w:b/>
                <w:bCs/>
                <w:color w:val="000000"/>
              </w:rPr>
              <w:t>Min Volume (TAF)</w:t>
            </w:r>
          </w:p>
        </w:tc>
        <w:tc>
          <w:tcPr>
            <w:tcW w:w="1800" w:type="dxa"/>
            <w:tcBorders>
              <w:top w:val="single" w:sz="8" w:space="0" w:color="auto"/>
              <w:left w:val="nil"/>
              <w:bottom w:val="single" w:sz="4" w:space="0" w:color="auto"/>
              <w:right w:val="single" w:sz="4" w:space="0" w:color="auto"/>
            </w:tcBorders>
            <w:shd w:val="clear" w:color="auto" w:fill="auto"/>
            <w:noWrap/>
            <w:vAlign w:val="bottom"/>
            <w:hideMark/>
          </w:tcPr>
          <w:p w14:paraId="547598EB" w14:textId="77777777" w:rsidR="005C1955" w:rsidRPr="005C1955" w:rsidRDefault="005C1955" w:rsidP="00A16307">
            <w:pPr>
              <w:keepNext/>
              <w:keepLines/>
              <w:spacing w:after="0" w:line="240" w:lineRule="auto"/>
              <w:jc w:val="center"/>
              <w:rPr>
                <w:rFonts w:ascii="Calibri" w:eastAsia="Times New Roman" w:hAnsi="Calibri" w:cs="Calibri"/>
                <w:b/>
                <w:bCs/>
                <w:color w:val="000000"/>
              </w:rPr>
            </w:pPr>
            <w:r w:rsidRPr="005C1955">
              <w:rPr>
                <w:rFonts w:ascii="Calibri" w:eastAsia="Times New Roman" w:hAnsi="Calibri" w:cs="Calibri"/>
                <w:b/>
                <w:bCs/>
                <w:color w:val="000000"/>
              </w:rPr>
              <w:t>Avg Volume (TAF)</w:t>
            </w:r>
          </w:p>
        </w:tc>
        <w:tc>
          <w:tcPr>
            <w:tcW w:w="1890" w:type="dxa"/>
            <w:tcBorders>
              <w:top w:val="single" w:sz="8" w:space="0" w:color="auto"/>
              <w:left w:val="nil"/>
              <w:bottom w:val="single" w:sz="4" w:space="0" w:color="auto"/>
              <w:right w:val="single" w:sz="8" w:space="0" w:color="auto"/>
            </w:tcBorders>
            <w:shd w:val="clear" w:color="auto" w:fill="auto"/>
            <w:noWrap/>
            <w:vAlign w:val="bottom"/>
            <w:hideMark/>
          </w:tcPr>
          <w:p w14:paraId="3E7861C9" w14:textId="77777777" w:rsidR="005C1955" w:rsidRPr="005C1955" w:rsidRDefault="005C1955" w:rsidP="00A16307">
            <w:pPr>
              <w:keepNext/>
              <w:keepLines/>
              <w:spacing w:after="0" w:line="240" w:lineRule="auto"/>
              <w:jc w:val="center"/>
              <w:rPr>
                <w:rFonts w:ascii="Calibri" w:eastAsia="Times New Roman" w:hAnsi="Calibri" w:cs="Calibri"/>
                <w:b/>
                <w:bCs/>
                <w:color w:val="000000"/>
              </w:rPr>
            </w:pPr>
            <w:r w:rsidRPr="005C1955">
              <w:rPr>
                <w:rFonts w:ascii="Calibri" w:eastAsia="Times New Roman" w:hAnsi="Calibri" w:cs="Calibri"/>
                <w:b/>
                <w:bCs/>
                <w:color w:val="000000"/>
              </w:rPr>
              <w:t>Max Volume (TAF)</w:t>
            </w:r>
          </w:p>
        </w:tc>
      </w:tr>
      <w:tr w:rsidR="005C1955" w:rsidRPr="005C1955" w14:paraId="057B679E" w14:textId="77777777" w:rsidTr="005C1955">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7D49269" w14:textId="77777777" w:rsidR="005C1955" w:rsidRPr="005C1955" w:rsidRDefault="005C1955" w:rsidP="00A16307">
            <w:pPr>
              <w:keepNext/>
              <w:keepLines/>
              <w:spacing w:after="0" w:line="240" w:lineRule="auto"/>
              <w:jc w:val="center"/>
              <w:rPr>
                <w:rFonts w:ascii="Calibri" w:eastAsia="Times New Roman" w:hAnsi="Calibri" w:cs="Calibri"/>
                <w:color w:val="000000"/>
              </w:rPr>
            </w:pPr>
            <w:r w:rsidRPr="005C1955">
              <w:rPr>
                <w:rFonts w:ascii="Calibri" w:eastAsia="Times New Roman" w:hAnsi="Calibri" w:cs="Calibri"/>
                <w:color w:val="000000"/>
              </w:rPr>
              <w:t>D</w:t>
            </w:r>
          </w:p>
        </w:tc>
        <w:tc>
          <w:tcPr>
            <w:tcW w:w="1890" w:type="dxa"/>
            <w:tcBorders>
              <w:top w:val="nil"/>
              <w:left w:val="nil"/>
              <w:bottom w:val="single" w:sz="4" w:space="0" w:color="auto"/>
              <w:right w:val="single" w:sz="4" w:space="0" w:color="auto"/>
            </w:tcBorders>
            <w:shd w:val="clear" w:color="auto" w:fill="auto"/>
            <w:noWrap/>
            <w:vAlign w:val="bottom"/>
            <w:hideMark/>
          </w:tcPr>
          <w:p w14:paraId="21019C2A" w14:textId="77777777" w:rsidR="005C1955" w:rsidRPr="005C1955" w:rsidRDefault="005C1955" w:rsidP="00A16307">
            <w:pPr>
              <w:keepNext/>
              <w:keepLines/>
              <w:spacing w:after="0" w:line="240" w:lineRule="auto"/>
              <w:jc w:val="center"/>
              <w:rPr>
                <w:rFonts w:ascii="Calibri" w:eastAsia="Times New Roman" w:hAnsi="Calibri" w:cs="Calibri"/>
                <w:color w:val="000000"/>
              </w:rPr>
            </w:pPr>
            <w:r w:rsidRPr="005C1955">
              <w:rPr>
                <w:rFonts w:ascii="Calibri" w:eastAsia="Times New Roman" w:hAnsi="Calibri" w:cs="Calibri"/>
                <w:color w:val="000000"/>
              </w:rPr>
              <w:t>5</w:t>
            </w:r>
          </w:p>
        </w:tc>
        <w:tc>
          <w:tcPr>
            <w:tcW w:w="1890" w:type="dxa"/>
            <w:tcBorders>
              <w:top w:val="nil"/>
              <w:left w:val="nil"/>
              <w:bottom w:val="single" w:sz="4" w:space="0" w:color="auto"/>
              <w:right w:val="single" w:sz="4" w:space="0" w:color="auto"/>
            </w:tcBorders>
            <w:shd w:val="clear" w:color="auto" w:fill="auto"/>
            <w:noWrap/>
            <w:vAlign w:val="bottom"/>
            <w:hideMark/>
          </w:tcPr>
          <w:p w14:paraId="55D0BED0" w14:textId="77777777" w:rsidR="005C1955" w:rsidRPr="005C1955" w:rsidRDefault="005C1955" w:rsidP="00A16307">
            <w:pPr>
              <w:keepNext/>
              <w:keepLines/>
              <w:spacing w:after="0" w:line="240" w:lineRule="auto"/>
              <w:jc w:val="center"/>
              <w:rPr>
                <w:rFonts w:ascii="Calibri" w:eastAsia="Times New Roman" w:hAnsi="Calibri" w:cs="Calibri"/>
                <w:color w:val="000000"/>
              </w:rPr>
            </w:pPr>
            <w:r w:rsidRPr="005C1955">
              <w:rPr>
                <w:rFonts w:ascii="Calibri" w:eastAsia="Times New Roman" w:hAnsi="Calibri" w:cs="Calibri"/>
                <w:color w:val="000000"/>
              </w:rPr>
              <w:t>64</w:t>
            </w:r>
          </w:p>
        </w:tc>
        <w:tc>
          <w:tcPr>
            <w:tcW w:w="1800" w:type="dxa"/>
            <w:tcBorders>
              <w:top w:val="nil"/>
              <w:left w:val="nil"/>
              <w:bottom w:val="single" w:sz="4" w:space="0" w:color="auto"/>
              <w:right w:val="single" w:sz="4" w:space="0" w:color="auto"/>
            </w:tcBorders>
            <w:shd w:val="clear" w:color="auto" w:fill="auto"/>
            <w:noWrap/>
            <w:vAlign w:val="bottom"/>
            <w:hideMark/>
          </w:tcPr>
          <w:p w14:paraId="44351D4F" w14:textId="77777777" w:rsidR="005C1955" w:rsidRPr="005C1955" w:rsidRDefault="005C1955" w:rsidP="00A16307">
            <w:pPr>
              <w:keepNext/>
              <w:keepLines/>
              <w:spacing w:after="0" w:line="240" w:lineRule="auto"/>
              <w:jc w:val="center"/>
              <w:rPr>
                <w:rFonts w:ascii="Calibri" w:eastAsia="Times New Roman" w:hAnsi="Calibri" w:cs="Calibri"/>
                <w:color w:val="000000"/>
              </w:rPr>
            </w:pPr>
            <w:r w:rsidRPr="005C1955">
              <w:rPr>
                <w:rFonts w:ascii="Calibri" w:eastAsia="Times New Roman" w:hAnsi="Calibri" w:cs="Calibri"/>
                <w:color w:val="000000"/>
              </w:rPr>
              <w:t>247</w:t>
            </w:r>
          </w:p>
        </w:tc>
        <w:tc>
          <w:tcPr>
            <w:tcW w:w="1890" w:type="dxa"/>
            <w:tcBorders>
              <w:top w:val="nil"/>
              <w:left w:val="nil"/>
              <w:bottom w:val="single" w:sz="4" w:space="0" w:color="auto"/>
              <w:right w:val="single" w:sz="8" w:space="0" w:color="auto"/>
            </w:tcBorders>
            <w:shd w:val="clear" w:color="auto" w:fill="auto"/>
            <w:noWrap/>
            <w:vAlign w:val="bottom"/>
            <w:hideMark/>
          </w:tcPr>
          <w:p w14:paraId="44B2412E" w14:textId="77777777" w:rsidR="005C1955" w:rsidRPr="005C1955" w:rsidRDefault="005C1955" w:rsidP="00A16307">
            <w:pPr>
              <w:keepNext/>
              <w:keepLines/>
              <w:spacing w:after="0" w:line="240" w:lineRule="auto"/>
              <w:jc w:val="center"/>
              <w:rPr>
                <w:rFonts w:ascii="Calibri" w:eastAsia="Times New Roman" w:hAnsi="Calibri" w:cs="Calibri"/>
                <w:color w:val="000000"/>
              </w:rPr>
            </w:pPr>
            <w:r w:rsidRPr="005C1955">
              <w:rPr>
                <w:rFonts w:ascii="Calibri" w:eastAsia="Times New Roman" w:hAnsi="Calibri" w:cs="Calibri"/>
                <w:color w:val="000000"/>
              </w:rPr>
              <w:t>390</w:t>
            </w:r>
          </w:p>
        </w:tc>
      </w:tr>
      <w:tr w:rsidR="005C1955" w:rsidRPr="005C1955" w14:paraId="438F61E2" w14:textId="77777777" w:rsidTr="005C1955">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6A42CD12" w14:textId="77777777" w:rsidR="005C1955" w:rsidRPr="005C1955" w:rsidRDefault="005C1955" w:rsidP="00A16307">
            <w:pPr>
              <w:keepNext/>
              <w:keepLines/>
              <w:spacing w:after="0" w:line="240" w:lineRule="auto"/>
              <w:jc w:val="center"/>
              <w:rPr>
                <w:rFonts w:ascii="Calibri" w:eastAsia="Times New Roman" w:hAnsi="Calibri" w:cs="Calibri"/>
                <w:color w:val="000000"/>
              </w:rPr>
            </w:pPr>
            <w:r w:rsidRPr="005C1955">
              <w:rPr>
                <w:rFonts w:ascii="Calibri" w:eastAsia="Times New Roman" w:hAnsi="Calibri" w:cs="Calibri"/>
                <w:color w:val="000000"/>
              </w:rPr>
              <w:t>C</w:t>
            </w:r>
          </w:p>
        </w:tc>
        <w:tc>
          <w:tcPr>
            <w:tcW w:w="1890" w:type="dxa"/>
            <w:tcBorders>
              <w:top w:val="nil"/>
              <w:left w:val="nil"/>
              <w:bottom w:val="single" w:sz="4" w:space="0" w:color="auto"/>
              <w:right w:val="single" w:sz="4" w:space="0" w:color="auto"/>
            </w:tcBorders>
            <w:shd w:val="clear" w:color="auto" w:fill="auto"/>
            <w:noWrap/>
            <w:vAlign w:val="bottom"/>
            <w:hideMark/>
          </w:tcPr>
          <w:p w14:paraId="1FC21FFB" w14:textId="77777777" w:rsidR="005C1955" w:rsidRPr="005C1955" w:rsidRDefault="005C1955" w:rsidP="00A16307">
            <w:pPr>
              <w:keepNext/>
              <w:keepLines/>
              <w:spacing w:after="0" w:line="240" w:lineRule="auto"/>
              <w:jc w:val="center"/>
              <w:rPr>
                <w:rFonts w:ascii="Calibri" w:eastAsia="Times New Roman" w:hAnsi="Calibri" w:cs="Calibri"/>
                <w:color w:val="000000"/>
              </w:rPr>
            </w:pPr>
            <w:r w:rsidRPr="005C1955">
              <w:rPr>
                <w:rFonts w:ascii="Calibri" w:eastAsia="Times New Roman" w:hAnsi="Calibri" w:cs="Calibri"/>
                <w:color w:val="000000"/>
              </w:rPr>
              <w:t>5</w:t>
            </w:r>
          </w:p>
        </w:tc>
        <w:tc>
          <w:tcPr>
            <w:tcW w:w="1890" w:type="dxa"/>
            <w:tcBorders>
              <w:top w:val="nil"/>
              <w:left w:val="nil"/>
              <w:bottom w:val="single" w:sz="4" w:space="0" w:color="auto"/>
              <w:right w:val="single" w:sz="4" w:space="0" w:color="auto"/>
            </w:tcBorders>
            <w:shd w:val="clear" w:color="auto" w:fill="auto"/>
            <w:noWrap/>
            <w:vAlign w:val="bottom"/>
            <w:hideMark/>
          </w:tcPr>
          <w:p w14:paraId="75519DFF" w14:textId="77777777" w:rsidR="005C1955" w:rsidRPr="005C1955" w:rsidRDefault="005C1955" w:rsidP="00A16307">
            <w:pPr>
              <w:keepNext/>
              <w:keepLines/>
              <w:spacing w:after="0" w:line="240" w:lineRule="auto"/>
              <w:jc w:val="center"/>
              <w:rPr>
                <w:rFonts w:ascii="Calibri" w:eastAsia="Times New Roman" w:hAnsi="Calibri" w:cs="Calibri"/>
                <w:color w:val="000000"/>
              </w:rPr>
            </w:pPr>
            <w:r w:rsidRPr="005C1955">
              <w:rPr>
                <w:rFonts w:ascii="Calibri" w:eastAsia="Times New Roman" w:hAnsi="Calibri" w:cs="Calibri"/>
                <w:color w:val="000000"/>
              </w:rPr>
              <w:t>131</w:t>
            </w:r>
          </w:p>
        </w:tc>
        <w:tc>
          <w:tcPr>
            <w:tcW w:w="1800" w:type="dxa"/>
            <w:tcBorders>
              <w:top w:val="nil"/>
              <w:left w:val="nil"/>
              <w:bottom w:val="single" w:sz="4" w:space="0" w:color="auto"/>
              <w:right w:val="single" w:sz="4" w:space="0" w:color="auto"/>
            </w:tcBorders>
            <w:shd w:val="clear" w:color="auto" w:fill="auto"/>
            <w:noWrap/>
            <w:vAlign w:val="bottom"/>
            <w:hideMark/>
          </w:tcPr>
          <w:p w14:paraId="57273A38" w14:textId="77777777" w:rsidR="005C1955" w:rsidRPr="005C1955" w:rsidRDefault="005C1955" w:rsidP="00A16307">
            <w:pPr>
              <w:keepNext/>
              <w:keepLines/>
              <w:spacing w:after="0" w:line="240" w:lineRule="auto"/>
              <w:jc w:val="center"/>
              <w:rPr>
                <w:rFonts w:ascii="Calibri" w:eastAsia="Times New Roman" w:hAnsi="Calibri" w:cs="Calibri"/>
                <w:color w:val="000000"/>
              </w:rPr>
            </w:pPr>
            <w:r w:rsidRPr="005C1955">
              <w:rPr>
                <w:rFonts w:ascii="Calibri" w:eastAsia="Times New Roman" w:hAnsi="Calibri" w:cs="Calibri"/>
                <w:color w:val="000000"/>
              </w:rPr>
              <w:t>182</w:t>
            </w:r>
          </w:p>
        </w:tc>
        <w:tc>
          <w:tcPr>
            <w:tcW w:w="1890" w:type="dxa"/>
            <w:tcBorders>
              <w:top w:val="nil"/>
              <w:left w:val="nil"/>
              <w:bottom w:val="single" w:sz="4" w:space="0" w:color="auto"/>
              <w:right w:val="single" w:sz="8" w:space="0" w:color="auto"/>
            </w:tcBorders>
            <w:shd w:val="clear" w:color="auto" w:fill="auto"/>
            <w:noWrap/>
            <w:vAlign w:val="bottom"/>
            <w:hideMark/>
          </w:tcPr>
          <w:p w14:paraId="16F1567B" w14:textId="77777777" w:rsidR="005C1955" w:rsidRPr="005C1955" w:rsidRDefault="005C1955" w:rsidP="00A16307">
            <w:pPr>
              <w:keepNext/>
              <w:keepLines/>
              <w:spacing w:after="0" w:line="240" w:lineRule="auto"/>
              <w:jc w:val="center"/>
              <w:rPr>
                <w:rFonts w:ascii="Calibri" w:eastAsia="Times New Roman" w:hAnsi="Calibri" w:cs="Calibri"/>
                <w:color w:val="000000"/>
              </w:rPr>
            </w:pPr>
            <w:r w:rsidRPr="005C1955">
              <w:rPr>
                <w:rFonts w:ascii="Calibri" w:eastAsia="Times New Roman" w:hAnsi="Calibri" w:cs="Calibri"/>
                <w:color w:val="000000"/>
              </w:rPr>
              <w:t>221</w:t>
            </w:r>
          </w:p>
        </w:tc>
      </w:tr>
      <w:tr w:rsidR="005C1955" w:rsidRPr="005C1955" w14:paraId="731EFFCD" w14:textId="77777777" w:rsidTr="005C1955">
        <w:trPr>
          <w:trHeight w:val="300"/>
        </w:trPr>
        <w:tc>
          <w:tcPr>
            <w:tcW w:w="1700" w:type="dxa"/>
            <w:tcBorders>
              <w:top w:val="nil"/>
              <w:left w:val="single" w:sz="8" w:space="0" w:color="auto"/>
              <w:bottom w:val="single" w:sz="8" w:space="0" w:color="auto"/>
              <w:right w:val="single" w:sz="4" w:space="0" w:color="auto"/>
            </w:tcBorders>
            <w:shd w:val="clear" w:color="auto" w:fill="auto"/>
            <w:noWrap/>
            <w:vAlign w:val="bottom"/>
            <w:hideMark/>
          </w:tcPr>
          <w:p w14:paraId="6EAAF397" w14:textId="77777777" w:rsidR="005C1955" w:rsidRPr="005C1955" w:rsidRDefault="005C1955" w:rsidP="005C1955">
            <w:pPr>
              <w:spacing w:after="0" w:line="240" w:lineRule="auto"/>
              <w:jc w:val="center"/>
              <w:rPr>
                <w:rFonts w:ascii="Calibri" w:eastAsia="Times New Roman" w:hAnsi="Calibri" w:cs="Calibri"/>
                <w:b/>
                <w:bCs/>
                <w:color w:val="000000"/>
              </w:rPr>
            </w:pPr>
            <w:r w:rsidRPr="005C1955">
              <w:rPr>
                <w:rFonts w:ascii="Calibri" w:eastAsia="Times New Roman" w:hAnsi="Calibri" w:cs="Calibri"/>
                <w:b/>
                <w:bCs/>
                <w:color w:val="000000"/>
              </w:rPr>
              <w:t>LT</w:t>
            </w:r>
          </w:p>
        </w:tc>
        <w:tc>
          <w:tcPr>
            <w:tcW w:w="1890" w:type="dxa"/>
            <w:tcBorders>
              <w:top w:val="nil"/>
              <w:left w:val="nil"/>
              <w:bottom w:val="single" w:sz="8" w:space="0" w:color="auto"/>
              <w:right w:val="single" w:sz="4" w:space="0" w:color="auto"/>
            </w:tcBorders>
            <w:shd w:val="clear" w:color="auto" w:fill="auto"/>
            <w:noWrap/>
            <w:vAlign w:val="bottom"/>
            <w:hideMark/>
          </w:tcPr>
          <w:p w14:paraId="2F4FD58D" w14:textId="77777777" w:rsidR="005C1955" w:rsidRPr="005C1955" w:rsidRDefault="005C1955" w:rsidP="005C1955">
            <w:pPr>
              <w:spacing w:after="0" w:line="240" w:lineRule="auto"/>
              <w:jc w:val="center"/>
              <w:rPr>
                <w:rFonts w:ascii="Calibri" w:eastAsia="Times New Roman" w:hAnsi="Calibri" w:cs="Calibri"/>
                <w:b/>
                <w:bCs/>
                <w:color w:val="000000"/>
              </w:rPr>
            </w:pPr>
            <w:r w:rsidRPr="005C1955">
              <w:rPr>
                <w:rFonts w:ascii="Calibri" w:eastAsia="Times New Roman" w:hAnsi="Calibri" w:cs="Calibri"/>
                <w:b/>
                <w:bCs/>
                <w:color w:val="000000"/>
              </w:rPr>
              <w:t>10</w:t>
            </w:r>
          </w:p>
        </w:tc>
        <w:tc>
          <w:tcPr>
            <w:tcW w:w="1890" w:type="dxa"/>
            <w:tcBorders>
              <w:top w:val="nil"/>
              <w:left w:val="nil"/>
              <w:bottom w:val="single" w:sz="8" w:space="0" w:color="auto"/>
              <w:right w:val="single" w:sz="4" w:space="0" w:color="auto"/>
            </w:tcBorders>
            <w:shd w:val="clear" w:color="auto" w:fill="auto"/>
            <w:noWrap/>
            <w:vAlign w:val="bottom"/>
            <w:hideMark/>
          </w:tcPr>
          <w:p w14:paraId="24C05911" w14:textId="77777777" w:rsidR="005C1955" w:rsidRPr="005C1955" w:rsidRDefault="005C1955" w:rsidP="005C1955">
            <w:pPr>
              <w:spacing w:after="0" w:line="240" w:lineRule="auto"/>
              <w:jc w:val="center"/>
              <w:rPr>
                <w:rFonts w:ascii="Calibri" w:eastAsia="Times New Roman" w:hAnsi="Calibri" w:cs="Calibri"/>
                <w:b/>
                <w:bCs/>
                <w:color w:val="000000"/>
              </w:rPr>
            </w:pPr>
            <w:r w:rsidRPr="005C1955">
              <w:rPr>
                <w:rFonts w:ascii="Calibri" w:eastAsia="Times New Roman" w:hAnsi="Calibri" w:cs="Calibri"/>
                <w:b/>
                <w:bCs/>
                <w:color w:val="000000"/>
              </w:rPr>
              <w:t>64</w:t>
            </w:r>
          </w:p>
        </w:tc>
        <w:tc>
          <w:tcPr>
            <w:tcW w:w="1800" w:type="dxa"/>
            <w:tcBorders>
              <w:top w:val="nil"/>
              <w:left w:val="nil"/>
              <w:bottom w:val="single" w:sz="8" w:space="0" w:color="auto"/>
              <w:right w:val="single" w:sz="4" w:space="0" w:color="auto"/>
            </w:tcBorders>
            <w:shd w:val="clear" w:color="auto" w:fill="auto"/>
            <w:noWrap/>
            <w:vAlign w:val="bottom"/>
            <w:hideMark/>
          </w:tcPr>
          <w:p w14:paraId="0225A8A9" w14:textId="77777777" w:rsidR="005C1955" w:rsidRPr="005C1955" w:rsidRDefault="005C1955" w:rsidP="005C1955">
            <w:pPr>
              <w:spacing w:after="0" w:line="240" w:lineRule="auto"/>
              <w:jc w:val="center"/>
              <w:rPr>
                <w:rFonts w:ascii="Calibri" w:eastAsia="Times New Roman" w:hAnsi="Calibri" w:cs="Calibri"/>
                <w:b/>
                <w:bCs/>
                <w:color w:val="000000"/>
              </w:rPr>
            </w:pPr>
            <w:r w:rsidRPr="005C1955">
              <w:rPr>
                <w:rFonts w:ascii="Calibri" w:eastAsia="Times New Roman" w:hAnsi="Calibri" w:cs="Calibri"/>
                <w:b/>
                <w:bCs/>
                <w:color w:val="000000"/>
              </w:rPr>
              <w:t>215</w:t>
            </w:r>
          </w:p>
        </w:tc>
        <w:tc>
          <w:tcPr>
            <w:tcW w:w="1890" w:type="dxa"/>
            <w:tcBorders>
              <w:top w:val="nil"/>
              <w:left w:val="nil"/>
              <w:bottom w:val="single" w:sz="8" w:space="0" w:color="auto"/>
              <w:right w:val="single" w:sz="8" w:space="0" w:color="auto"/>
            </w:tcBorders>
            <w:shd w:val="clear" w:color="auto" w:fill="auto"/>
            <w:noWrap/>
            <w:vAlign w:val="bottom"/>
            <w:hideMark/>
          </w:tcPr>
          <w:p w14:paraId="79C419CE" w14:textId="77777777" w:rsidR="005C1955" w:rsidRPr="005C1955" w:rsidRDefault="005C1955" w:rsidP="005C1955">
            <w:pPr>
              <w:spacing w:after="0" w:line="240" w:lineRule="auto"/>
              <w:jc w:val="center"/>
              <w:rPr>
                <w:rFonts w:ascii="Calibri" w:eastAsia="Times New Roman" w:hAnsi="Calibri" w:cs="Calibri"/>
                <w:b/>
                <w:bCs/>
                <w:color w:val="000000"/>
              </w:rPr>
            </w:pPr>
            <w:r w:rsidRPr="005C1955">
              <w:rPr>
                <w:rFonts w:ascii="Calibri" w:eastAsia="Times New Roman" w:hAnsi="Calibri" w:cs="Calibri"/>
                <w:b/>
                <w:bCs/>
                <w:color w:val="000000"/>
              </w:rPr>
              <w:t>390</w:t>
            </w:r>
          </w:p>
        </w:tc>
      </w:tr>
    </w:tbl>
    <w:p w14:paraId="1AEC4301" w14:textId="77777777" w:rsidR="005C1955" w:rsidRDefault="005C1955" w:rsidP="00A16307"/>
    <w:p w14:paraId="18C8903A" w14:textId="261A8301" w:rsidR="00083B9F" w:rsidRDefault="00083B9F" w:rsidP="00083B9F">
      <w:pPr>
        <w:spacing w:after="0"/>
      </w:pPr>
      <w:r>
        <w:t xml:space="preserve">Table </w:t>
      </w:r>
      <w:r w:rsidR="00385DE0">
        <w:t>3</w:t>
      </w:r>
      <w:r>
        <w:t>: Summary of Exchange</w:t>
      </w:r>
      <w:r w:rsidR="005C1955">
        <w:t xml:space="preserve"> Months</w:t>
      </w:r>
    </w:p>
    <w:tbl>
      <w:tblPr>
        <w:tblW w:w="9220" w:type="dxa"/>
        <w:tblLook w:val="04A0" w:firstRow="1" w:lastRow="0" w:firstColumn="1" w:lastColumn="0" w:noHBand="0" w:noVBand="1"/>
      </w:tblPr>
      <w:tblGrid>
        <w:gridCol w:w="1700"/>
        <w:gridCol w:w="1880"/>
        <w:gridCol w:w="1880"/>
        <w:gridCol w:w="1880"/>
        <w:gridCol w:w="1880"/>
      </w:tblGrid>
      <w:tr w:rsidR="00083B9F" w:rsidRPr="003D2E46" w14:paraId="35600D08" w14:textId="77777777" w:rsidTr="0029721F">
        <w:trPr>
          <w:trHeight w:val="288"/>
        </w:trPr>
        <w:tc>
          <w:tcPr>
            <w:tcW w:w="1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51CFF5" w14:textId="77777777" w:rsidR="00083B9F" w:rsidRPr="003D2E46" w:rsidRDefault="00083B9F" w:rsidP="0029721F">
            <w:pPr>
              <w:spacing w:after="0" w:line="240" w:lineRule="auto"/>
              <w:jc w:val="center"/>
              <w:rPr>
                <w:rFonts w:ascii="Calibri" w:eastAsia="Times New Roman" w:hAnsi="Calibri" w:cs="Calibri"/>
                <w:b/>
                <w:bCs/>
                <w:color w:val="000000"/>
              </w:rPr>
            </w:pPr>
            <w:r w:rsidRPr="003D2E46">
              <w:rPr>
                <w:rFonts w:ascii="Calibri" w:eastAsia="Times New Roman" w:hAnsi="Calibri" w:cs="Calibri"/>
                <w:b/>
                <w:bCs/>
                <w:color w:val="000000"/>
              </w:rPr>
              <w:t>Month</w:t>
            </w:r>
          </w:p>
        </w:tc>
        <w:tc>
          <w:tcPr>
            <w:tcW w:w="1880" w:type="dxa"/>
            <w:tcBorders>
              <w:top w:val="single" w:sz="8" w:space="0" w:color="auto"/>
              <w:left w:val="nil"/>
              <w:bottom w:val="single" w:sz="4" w:space="0" w:color="auto"/>
              <w:right w:val="single" w:sz="4" w:space="0" w:color="auto"/>
            </w:tcBorders>
            <w:shd w:val="clear" w:color="auto" w:fill="auto"/>
            <w:noWrap/>
            <w:vAlign w:val="bottom"/>
            <w:hideMark/>
          </w:tcPr>
          <w:p w14:paraId="1AA3E53A" w14:textId="77777777" w:rsidR="00083B9F" w:rsidRPr="003D2E46" w:rsidRDefault="00083B9F" w:rsidP="0029721F">
            <w:pPr>
              <w:spacing w:after="0" w:line="240" w:lineRule="auto"/>
              <w:jc w:val="center"/>
              <w:rPr>
                <w:rFonts w:ascii="Calibri" w:eastAsia="Times New Roman" w:hAnsi="Calibri" w:cs="Calibri"/>
                <w:b/>
                <w:bCs/>
                <w:color w:val="000000"/>
              </w:rPr>
            </w:pPr>
            <w:r w:rsidRPr="003D2E46">
              <w:rPr>
                <w:rFonts w:ascii="Calibri" w:eastAsia="Times New Roman" w:hAnsi="Calibri" w:cs="Calibri"/>
                <w:b/>
                <w:bCs/>
                <w:color w:val="000000"/>
              </w:rPr>
              <w:t>Occurrences</w:t>
            </w:r>
          </w:p>
        </w:tc>
        <w:tc>
          <w:tcPr>
            <w:tcW w:w="1880" w:type="dxa"/>
            <w:tcBorders>
              <w:top w:val="single" w:sz="8" w:space="0" w:color="auto"/>
              <w:left w:val="nil"/>
              <w:bottom w:val="single" w:sz="4" w:space="0" w:color="auto"/>
              <w:right w:val="single" w:sz="4" w:space="0" w:color="auto"/>
            </w:tcBorders>
            <w:shd w:val="clear" w:color="auto" w:fill="auto"/>
            <w:noWrap/>
            <w:vAlign w:val="bottom"/>
            <w:hideMark/>
          </w:tcPr>
          <w:p w14:paraId="1C9D9D91" w14:textId="77777777" w:rsidR="00083B9F" w:rsidRPr="003D2E46" w:rsidRDefault="00083B9F" w:rsidP="0029721F">
            <w:pPr>
              <w:spacing w:after="0" w:line="240" w:lineRule="auto"/>
              <w:jc w:val="center"/>
              <w:rPr>
                <w:rFonts w:ascii="Calibri" w:eastAsia="Times New Roman" w:hAnsi="Calibri" w:cs="Calibri"/>
                <w:b/>
                <w:bCs/>
                <w:color w:val="000000"/>
              </w:rPr>
            </w:pPr>
            <w:r w:rsidRPr="003D2E46">
              <w:rPr>
                <w:rFonts w:ascii="Calibri" w:eastAsia="Times New Roman" w:hAnsi="Calibri" w:cs="Calibri"/>
                <w:b/>
                <w:bCs/>
                <w:color w:val="000000"/>
              </w:rPr>
              <w:t>Min Volume (TAF)</w:t>
            </w:r>
          </w:p>
        </w:tc>
        <w:tc>
          <w:tcPr>
            <w:tcW w:w="1880" w:type="dxa"/>
            <w:tcBorders>
              <w:top w:val="single" w:sz="8" w:space="0" w:color="auto"/>
              <w:left w:val="nil"/>
              <w:bottom w:val="single" w:sz="4" w:space="0" w:color="auto"/>
              <w:right w:val="single" w:sz="4" w:space="0" w:color="auto"/>
            </w:tcBorders>
            <w:shd w:val="clear" w:color="auto" w:fill="auto"/>
            <w:noWrap/>
            <w:vAlign w:val="bottom"/>
            <w:hideMark/>
          </w:tcPr>
          <w:p w14:paraId="65B27FB1" w14:textId="77777777" w:rsidR="00083B9F" w:rsidRPr="00A16307" w:rsidRDefault="00083B9F" w:rsidP="0029721F">
            <w:pPr>
              <w:spacing w:after="0" w:line="240" w:lineRule="auto"/>
              <w:jc w:val="center"/>
              <w:rPr>
                <w:rFonts w:ascii="Calibri" w:eastAsia="Times New Roman" w:hAnsi="Calibri" w:cs="Calibri"/>
                <w:b/>
                <w:bCs/>
                <w:color w:val="000000"/>
                <w:highlight w:val="yellow"/>
              </w:rPr>
            </w:pPr>
            <w:r w:rsidRPr="00A16307">
              <w:rPr>
                <w:rFonts w:ascii="Calibri" w:eastAsia="Times New Roman" w:hAnsi="Calibri" w:cs="Calibri"/>
                <w:b/>
                <w:bCs/>
                <w:color w:val="000000"/>
                <w:highlight w:val="yellow"/>
              </w:rPr>
              <w:t>Avg Volume (TAF)</w:t>
            </w:r>
          </w:p>
        </w:tc>
        <w:tc>
          <w:tcPr>
            <w:tcW w:w="1880" w:type="dxa"/>
            <w:tcBorders>
              <w:top w:val="single" w:sz="8" w:space="0" w:color="auto"/>
              <w:left w:val="nil"/>
              <w:bottom w:val="single" w:sz="4" w:space="0" w:color="auto"/>
              <w:right w:val="single" w:sz="8" w:space="0" w:color="auto"/>
            </w:tcBorders>
            <w:shd w:val="clear" w:color="auto" w:fill="auto"/>
            <w:noWrap/>
            <w:vAlign w:val="bottom"/>
            <w:hideMark/>
          </w:tcPr>
          <w:p w14:paraId="0BD9961A" w14:textId="77777777" w:rsidR="00083B9F" w:rsidRPr="003D2E46" w:rsidRDefault="00083B9F" w:rsidP="0029721F">
            <w:pPr>
              <w:spacing w:after="0" w:line="240" w:lineRule="auto"/>
              <w:jc w:val="center"/>
              <w:rPr>
                <w:rFonts w:ascii="Calibri" w:eastAsia="Times New Roman" w:hAnsi="Calibri" w:cs="Calibri"/>
                <w:b/>
                <w:bCs/>
                <w:color w:val="000000"/>
              </w:rPr>
            </w:pPr>
            <w:r w:rsidRPr="003D2E46">
              <w:rPr>
                <w:rFonts w:ascii="Calibri" w:eastAsia="Times New Roman" w:hAnsi="Calibri" w:cs="Calibri"/>
                <w:b/>
                <w:bCs/>
                <w:color w:val="000000"/>
              </w:rPr>
              <w:t>Max Volume (TAF)</w:t>
            </w:r>
          </w:p>
        </w:tc>
      </w:tr>
      <w:tr w:rsidR="00083B9F" w:rsidRPr="003D2E46" w14:paraId="76BDF0E7" w14:textId="77777777" w:rsidTr="0029721F">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0E0BE7A"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April</w:t>
            </w:r>
          </w:p>
        </w:tc>
        <w:tc>
          <w:tcPr>
            <w:tcW w:w="1880" w:type="dxa"/>
            <w:tcBorders>
              <w:top w:val="nil"/>
              <w:left w:val="nil"/>
              <w:bottom w:val="single" w:sz="4" w:space="0" w:color="auto"/>
              <w:right w:val="single" w:sz="4" w:space="0" w:color="auto"/>
            </w:tcBorders>
            <w:shd w:val="clear" w:color="auto" w:fill="auto"/>
            <w:noWrap/>
            <w:vAlign w:val="bottom"/>
            <w:hideMark/>
          </w:tcPr>
          <w:p w14:paraId="08F82E9B"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1</w:t>
            </w:r>
          </w:p>
        </w:tc>
        <w:tc>
          <w:tcPr>
            <w:tcW w:w="1880" w:type="dxa"/>
            <w:tcBorders>
              <w:top w:val="nil"/>
              <w:left w:val="nil"/>
              <w:bottom w:val="single" w:sz="4" w:space="0" w:color="auto"/>
              <w:right w:val="single" w:sz="4" w:space="0" w:color="auto"/>
            </w:tcBorders>
            <w:shd w:val="clear" w:color="auto" w:fill="auto"/>
            <w:noWrap/>
            <w:vAlign w:val="bottom"/>
            <w:hideMark/>
          </w:tcPr>
          <w:p w14:paraId="3420B372"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83</w:t>
            </w:r>
          </w:p>
        </w:tc>
        <w:tc>
          <w:tcPr>
            <w:tcW w:w="1880" w:type="dxa"/>
            <w:tcBorders>
              <w:top w:val="nil"/>
              <w:left w:val="nil"/>
              <w:bottom w:val="single" w:sz="4" w:space="0" w:color="auto"/>
              <w:right w:val="single" w:sz="4" w:space="0" w:color="auto"/>
            </w:tcBorders>
            <w:shd w:val="clear" w:color="auto" w:fill="auto"/>
            <w:noWrap/>
            <w:vAlign w:val="bottom"/>
            <w:hideMark/>
          </w:tcPr>
          <w:p w14:paraId="6590ECA9" w14:textId="77777777" w:rsidR="00083B9F" w:rsidRPr="00A16307" w:rsidRDefault="00083B9F" w:rsidP="0029721F">
            <w:pPr>
              <w:spacing w:after="0" w:line="240" w:lineRule="auto"/>
              <w:jc w:val="center"/>
              <w:rPr>
                <w:rFonts w:ascii="Calibri" w:eastAsia="Times New Roman" w:hAnsi="Calibri" w:cs="Calibri"/>
                <w:color w:val="000000"/>
                <w:highlight w:val="yellow"/>
              </w:rPr>
            </w:pPr>
            <w:r w:rsidRPr="00A16307">
              <w:rPr>
                <w:rFonts w:ascii="Calibri" w:eastAsia="Times New Roman" w:hAnsi="Calibri" w:cs="Calibri"/>
                <w:color w:val="000000"/>
                <w:highlight w:val="yellow"/>
              </w:rPr>
              <w:t>83</w:t>
            </w:r>
          </w:p>
        </w:tc>
        <w:tc>
          <w:tcPr>
            <w:tcW w:w="1880" w:type="dxa"/>
            <w:tcBorders>
              <w:top w:val="nil"/>
              <w:left w:val="nil"/>
              <w:bottom w:val="single" w:sz="4" w:space="0" w:color="auto"/>
              <w:right w:val="single" w:sz="8" w:space="0" w:color="auto"/>
            </w:tcBorders>
            <w:shd w:val="clear" w:color="auto" w:fill="auto"/>
            <w:noWrap/>
            <w:vAlign w:val="bottom"/>
            <w:hideMark/>
          </w:tcPr>
          <w:p w14:paraId="03D3FDD8"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83</w:t>
            </w:r>
          </w:p>
        </w:tc>
      </w:tr>
      <w:tr w:rsidR="00083B9F" w:rsidRPr="003D2E46" w14:paraId="6E6EE562" w14:textId="77777777" w:rsidTr="0029721F">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6FCFB8EA"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May</w:t>
            </w:r>
          </w:p>
        </w:tc>
        <w:tc>
          <w:tcPr>
            <w:tcW w:w="1880" w:type="dxa"/>
            <w:tcBorders>
              <w:top w:val="nil"/>
              <w:left w:val="nil"/>
              <w:bottom w:val="single" w:sz="4" w:space="0" w:color="auto"/>
              <w:right w:val="single" w:sz="4" w:space="0" w:color="auto"/>
            </w:tcBorders>
            <w:shd w:val="clear" w:color="auto" w:fill="auto"/>
            <w:noWrap/>
            <w:vAlign w:val="bottom"/>
            <w:hideMark/>
          </w:tcPr>
          <w:p w14:paraId="0EF5D189"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9</w:t>
            </w:r>
          </w:p>
        </w:tc>
        <w:tc>
          <w:tcPr>
            <w:tcW w:w="1880" w:type="dxa"/>
            <w:tcBorders>
              <w:top w:val="nil"/>
              <w:left w:val="nil"/>
              <w:bottom w:val="single" w:sz="4" w:space="0" w:color="auto"/>
              <w:right w:val="single" w:sz="4" w:space="0" w:color="auto"/>
            </w:tcBorders>
            <w:shd w:val="clear" w:color="auto" w:fill="auto"/>
            <w:noWrap/>
            <w:vAlign w:val="bottom"/>
            <w:hideMark/>
          </w:tcPr>
          <w:p w14:paraId="0774373C"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35</w:t>
            </w:r>
          </w:p>
        </w:tc>
        <w:tc>
          <w:tcPr>
            <w:tcW w:w="1880" w:type="dxa"/>
            <w:tcBorders>
              <w:top w:val="nil"/>
              <w:left w:val="nil"/>
              <w:bottom w:val="single" w:sz="4" w:space="0" w:color="auto"/>
              <w:right w:val="single" w:sz="4" w:space="0" w:color="auto"/>
            </w:tcBorders>
            <w:shd w:val="clear" w:color="auto" w:fill="auto"/>
            <w:noWrap/>
            <w:vAlign w:val="bottom"/>
            <w:hideMark/>
          </w:tcPr>
          <w:p w14:paraId="1077B0B2" w14:textId="77777777" w:rsidR="00083B9F" w:rsidRPr="00A16307" w:rsidRDefault="00083B9F" w:rsidP="0029721F">
            <w:pPr>
              <w:spacing w:after="0" w:line="240" w:lineRule="auto"/>
              <w:jc w:val="center"/>
              <w:rPr>
                <w:rFonts w:ascii="Calibri" w:eastAsia="Times New Roman" w:hAnsi="Calibri" w:cs="Calibri"/>
                <w:color w:val="000000"/>
                <w:highlight w:val="yellow"/>
              </w:rPr>
            </w:pPr>
            <w:r w:rsidRPr="00A16307">
              <w:rPr>
                <w:rFonts w:ascii="Calibri" w:eastAsia="Times New Roman" w:hAnsi="Calibri" w:cs="Calibri"/>
                <w:color w:val="000000"/>
                <w:highlight w:val="yellow"/>
              </w:rPr>
              <w:t>160</w:t>
            </w:r>
          </w:p>
        </w:tc>
        <w:tc>
          <w:tcPr>
            <w:tcW w:w="1880" w:type="dxa"/>
            <w:tcBorders>
              <w:top w:val="nil"/>
              <w:left w:val="nil"/>
              <w:bottom w:val="single" w:sz="4" w:space="0" w:color="auto"/>
              <w:right w:val="single" w:sz="8" w:space="0" w:color="auto"/>
            </w:tcBorders>
            <w:shd w:val="clear" w:color="auto" w:fill="auto"/>
            <w:noWrap/>
            <w:vAlign w:val="bottom"/>
            <w:hideMark/>
          </w:tcPr>
          <w:p w14:paraId="5AC26378"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315</w:t>
            </w:r>
          </w:p>
        </w:tc>
      </w:tr>
      <w:tr w:rsidR="00083B9F" w:rsidRPr="003D2E46" w14:paraId="2195CDAC" w14:textId="77777777" w:rsidTr="0029721F">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F62C4EF"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June</w:t>
            </w:r>
          </w:p>
        </w:tc>
        <w:tc>
          <w:tcPr>
            <w:tcW w:w="1880" w:type="dxa"/>
            <w:tcBorders>
              <w:top w:val="nil"/>
              <w:left w:val="nil"/>
              <w:bottom w:val="single" w:sz="4" w:space="0" w:color="auto"/>
              <w:right w:val="single" w:sz="4" w:space="0" w:color="auto"/>
            </w:tcBorders>
            <w:shd w:val="clear" w:color="auto" w:fill="auto"/>
            <w:noWrap/>
            <w:vAlign w:val="bottom"/>
            <w:hideMark/>
          </w:tcPr>
          <w:p w14:paraId="7B29C0B0"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9</w:t>
            </w:r>
          </w:p>
        </w:tc>
        <w:tc>
          <w:tcPr>
            <w:tcW w:w="1880" w:type="dxa"/>
            <w:tcBorders>
              <w:top w:val="nil"/>
              <w:left w:val="nil"/>
              <w:bottom w:val="single" w:sz="4" w:space="0" w:color="auto"/>
              <w:right w:val="single" w:sz="4" w:space="0" w:color="auto"/>
            </w:tcBorders>
            <w:shd w:val="clear" w:color="auto" w:fill="auto"/>
            <w:noWrap/>
            <w:vAlign w:val="bottom"/>
            <w:hideMark/>
          </w:tcPr>
          <w:p w14:paraId="0BD2252A"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7</w:t>
            </w:r>
          </w:p>
        </w:tc>
        <w:tc>
          <w:tcPr>
            <w:tcW w:w="1880" w:type="dxa"/>
            <w:tcBorders>
              <w:top w:val="nil"/>
              <w:left w:val="nil"/>
              <w:bottom w:val="single" w:sz="4" w:space="0" w:color="auto"/>
              <w:right w:val="single" w:sz="4" w:space="0" w:color="auto"/>
            </w:tcBorders>
            <w:shd w:val="clear" w:color="auto" w:fill="auto"/>
            <w:noWrap/>
            <w:vAlign w:val="bottom"/>
            <w:hideMark/>
          </w:tcPr>
          <w:p w14:paraId="17E86E3D" w14:textId="77777777" w:rsidR="00083B9F" w:rsidRPr="00A16307" w:rsidRDefault="00083B9F" w:rsidP="0029721F">
            <w:pPr>
              <w:spacing w:after="0" w:line="240" w:lineRule="auto"/>
              <w:jc w:val="center"/>
              <w:rPr>
                <w:rFonts w:ascii="Calibri" w:eastAsia="Times New Roman" w:hAnsi="Calibri" w:cs="Calibri"/>
                <w:color w:val="000000"/>
                <w:highlight w:val="yellow"/>
              </w:rPr>
            </w:pPr>
            <w:r w:rsidRPr="00A16307">
              <w:rPr>
                <w:rFonts w:ascii="Calibri" w:eastAsia="Times New Roman" w:hAnsi="Calibri" w:cs="Calibri"/>
                <w:color w:val="000000"/>
                <w:highlight w:val="yellow"/>
              </w:rPr>
              <w:t>69</w:t>
            </w:r>
          </w:p>
        </w:tc>
        <w:tc>
          <w:tcPr>
            <w:tcW w:w="1880" w:type="dxa"/>
            <w:tcBorders>
              <w:top w:val="nil"/>
              <w:left w:val="nil"/>
              <w:bottom w:val="single" w:sz="4" w:space="0" w:color="auto"/>
              <w:right w:val="single" w:sz="8" w:space="0" w:color="auto"/>
            </w:tcBorders>
            <w:shd w:val="clear" w:color="auto" w:fill="auto"/>
            <w:noWrap/>
            <w:vAlign w:val="bottom"/>
            <w:hideMark/>
          </w:tcPr>
          <w:p w14:paraId="4AD9D38E"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131</w:t>
            </w:r>
          </w:p>
        </w:tc>
      </w:tr>
    </w:tbl>
    <w:p w14:paraId="05DC89F8" w14:textId="77777777" w:rsidR="00083B9F" w:rsidRDefault="00083B9F" w:rsidP="00083B9F"/>
    <w:p w14:paraId="78A59ED2" w14:textId="62207D20" w:rsidR="00083B9F" w:rsidRDefault="00083B9F" w:rsidP="00083B9F">
      <w:pPr>
        <w:spacing w:after="0"/>
      </w:pPr>
      <w:r>
        <w:t xml:space="preserve">Table </w:t>
      </w:r>
      <w:r w:rsidR="00385DE0">
        <w:t>4</w:t>
      </w:r>
      <w:r>
        <w:t>: Summary of Release</w:t>
      </w:r>
      <w:r w:rsidR="005C1955">
        <w:t xml:space="preserve"> Months</w:t>
      </w:r>
    </w:p>
    <w:tbl>
      <w:tblPr>
        <w:tblW w:w="9220" w:type="dxa"/>
        <w:tblLook w:val="04A0" w:firstRow="1" w:lastRow="0" w:firstColumn="1" w:lastColumn="0" w:noHBand="0" w:noVBand="1"/>
      </w:tblPr>
      <w:tblGrid>
        <w:gridCol w:w="1700"/>
        <w:gridCol w:w="1880"/>
        <w:gridCol w:w="1880"/>
        <w:gridCol w:w="1880"/>
        <w:gridCol w:w="1880"/>
      </w:tblGrid>
      <w:tr w:rsidR="00083B9F" w:rsidRPr="003D2E46" w14:paraId="286FD490" w14:textId="77777777" w:rsidTr="0029721F">
        <w:trPr>
          <w:trHeight w:val="288"/>
        </w:trPr>
        <w:tc>
          <w:tcPr>
            <w:tcW w:w="1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CAD32E" w14:textId="77777777" w:rsidR="00083B9F" w:rsidRPr="003D2E46" w:rsidRDefault="00083B9F" w:rsidP="0029721F">
            <w:pPr>
              <w:spacing w:after="0" w:line="240" w:lineRule="auto"/>
              <w:jc w:val="center"/>
              <w:rPr>
                <w:rFonts w:ascii="Calibri" w:eastAsia="Times New Roman" w:hAnsi="Calibri" w:cs="Calibri"/>
                <w:b/>
                <w:bCs/>
                <w:color w:val="000000"/>
              </w:rPr>
            </w:pPr>
            <w:r w:rsidRPr="003D2E46">
              <w:rPr>
                <w:rFonts w:ascii="Calibri" w:eastAsia="Times New Roman" w:hAnsi="Calibri" w:cs="Calibri"/>
                <w:b/>
                <w:bCs/>
                <w:color w:val="000000"/>
              </w:rPr>
              <w:t>Month</w:t>
            </w:r>
          </w:p>
        </w:tc>
        <w:tc>
          <w:tcPr>
            <w:tcW w:w="1880" w:type="dxa"/>
            <w:tcBorders>
              <w:top w:val="single" w:sz="8" w:space="0" w:color="auto"/>
              <w:left w:val="nil"/>
              <w:bottom w:val="single" w:sz="4" w:space="0" w:color="auto"/>
              <w:right w:val="single" w:sz="4" w:space="0" w:color="auto"/>
            </w:tcBorders>
            <w:shd w:val="clear" w:color="auto" w:fill="auto"/>
            <w:noWrap/>
            <w:vAlign w:val="bottom"/>
            <w:hideMark/>
          </w:tcPr>
          <w:p w14:paraId="74144CF8" w14:textId="77777777" w:rsidR="00083B9F" w:rsidRPr="003D2E46" w:rsidRDefault="00083B9F" w:rsidP="0029721F">
            <w:pPr>
              <w:spacing w:after="0" w:line="240" w:lineRule="auto"/>
              <w:jc w:val="center"/>
              <w:rPr>
                <w:rFonts w:ascii="Calibri" w:eastAsia="Times New Roman" w:hAnsi="Calibri" w:cs="Calibri"/>
                <w:b/>
                <w:bCs/>
                <w:color w:val="000000"/>
              </w:rPr>
            </w:pPr>
            <w:r w:rsidRPr="003D2E46">
              <w:rPr>
                <w:rFonts w:ascii="Calibri" w:eastAsia="Times New Roman" w:hAnsi="Calibri" w:cs="Calibri"/>
                <w:b/>
                <w:bCs/>
                <w:color w:val="000000"/>
              </w:rPr>
              <w:t>Occurrences</w:t>
            </w:r>
          </w:p>
        </w:tc>
        <w:tc>
          <w:tcPr>
            <w:tcW w:w="1880" w:type="dxa"/>
            <w:tcBorders>
              <w:top w:val="single" w:sz="8" w:space="0" w:color="auto"/>
              <w:left w:val="nil"/>
              <w:bottom w:val="single" w:sz="4" w:space="0" w:color="auto"/>
              <w:right w:val="single" w:sz="4" w:space="0" w:color="auto"/>
            </w:tcBorders>
            <w:shd w:val="clear" w:color="auto" w:fill="auto"/>
            <w:noWrap/>
            <w:vAlign w:val="bottom"/>
            <w:hideMark/>
          </w:tcPr>
          <w:p w14:paraId="49D9CE50" w14:textId="77777777" w:rsidR="00083B9F" w:rsidRPr="003D2E46" w:rsidRDefault="00083B9F" w:rsidP="0029721F">
            <w:pPr>
              <w:spacing w:after="0" w:line="240" w:lineRule="auto"/>
              <w:jc w:val="center"/>
              <w:rPr>
                <w:rFonts w:ascii="Calibri" w:eastAsia="Times New Roman" w:hAnsi="Calibri" w:cs="Calibri"/>
                <w:b/>
                <w:bCs/>
                <w:color w:val="000000"/>
              </w:rPr>
            </w:pPr>
            <w:r w:rsidRPr="003D2E46">
              <w:rPr>
                <w:rFonts w:ascii="Calibri" w:eastAsia="Times New Roman" w:hAnsi="Calibri" w:cs="Calibri"/>
                <w:b/>
                <w:bCs/>
                <w:color w:val="000000"/>
              </w:rPr>
              <w:t>Min Volume (TAF)</w:t>
            </w:r>
          </w:p>
        </w:tc>
        <w:tc>
          <w:tcPr>
            <w:tcW w:w="1880" w:type="dxa"/>
            <w:tcBorders>
              <w:top w:val="single" w:sz="8" w:space="0" w:color="auto"/>
              <w:left w:val="nil"/>
              <w:bottom w:val="single" w:sz="4" w:space="0" w:color="auto"/>
              <w:right w:val="single" w:sz="4" w:space="0" w:color="auto"/>
            </w:tcBorders>
            <w:shd w:val="clear" w:color="auto" w:fill="auto"/>
            <w:noWrap/>
            <w:vAlign w:val="bottom"/>
            <w:hideMark/>
          </w:tcPr>
          <w:p w14:paraId="43CCB598" w14:textId="77777777" w:rsidR="00083B9F" w:rsidRPr="00A16307" w:rsidRDefault="00083B9F" w:rsidP="0029721F">
            <w:pPr>
              <w:spacing w:after="0" w:line="240" w:lineRule="auto"/>
              <w:jc w:val="center"/>
              <w:rPr>
                <w:rFonts w:ascii="Calibri" w:eastAsia="Times New Roman" w:hAnsi="Calibri" w:cs="Calibri"/>
                <w:b/>
                <w:bCs/>
                <w:color w:val="000000"/>
                <w:highlight w:val="yellow"/>
              </w:rPr>
            </w:pPr>
            <w:r w:rsidRPr="00A16307">
              <w:rPr>
                <w:rFonts w:ascii="Calibri" w:eastAsia="Times New Roman" w:hAnsi="Calibri" w:cs="Calibri"/>
                <w:b/>
                <w:bCs/>
                <w:color w:val="000000"/>
                <w:highlight w:val="yellow"/>
              </w:rPr>
              <w:t>Avg Volume (TAF)</w:t>
            </w:r>
          </w:p>
        </w:tc>
        <w:tc>
          <w:tcPr>
            <w:tcW w:w="1880" w:type="dxa"/>
            <w:tcBorders>
              <w:top w:val="single" w:sz="8" w:space="0" w:color="auto"/>
              <w:left w:val="nil"/>
              <w:bottom w:val="single" w:sz="4" w:space="0" w:color="auto"/>
              <w:right w:val="single" w:sz="8" w:space="0" w:color="auto"/>
            </w:tcBorders>
            <w:shd w:val="clear" w:color="auto" w:fill="auto"/>
            <w:noWrap/>
            <w:vAlign w:val="bottom"/>
            <w:hideMark/>
          </w:tcPr>
          <w:p w14:paraId="1F5F5C97" w14:textId="77777777" w:rsidR="00083B9F" w:rsidRPr="003D2E46" w:rsidRDefault="00083B9F" w:rsidP="0029721F">
            <w:pPr>
              <w:spacing w:after="0" w:line="240" w:lineRule="auto"/>
              <w:jc w:val="center"/>
              <w:rPr>
                <w:rFonts w:ascii="Calibri" w:eastAsia="Times New Roman" w:hAnsi="Calibri" w:cs="Calibri"/>
                <w:b/>
                <w:bCs/>
                <w:color w:val="000000"/>
              </w:rPr>
            </w:pPr>
            <w:r w:rsidRPr="003D2E46">
              <w:rPr>
                <w:rFonts w:ascii="Calibri" w:eastAsia="Times New Roman" w:hAnsi="Calibri" w:cs="Calibri"/>
                <w:b/>
                <w:bCs/>
                <w:color w:val="000000"/>
              </w:rPr>
              <w:t>Max Volume (TAF)</w:t>
            </w:r>
          </w:p>
        </w:tc>
      </w:tr>
      <w:tr w:rsidR="00083B9F" w:rsidRPr="003D2E46" w14:paraId="63106A1E" w14:textId="77777777" w:rsidTr="0029721F">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653A6BA1"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August</w:t>
            </w:r>
          </w:p>
        </w:tc>
        <w:tc>
          <w:tcPr>
            <w:tcW w:w="1880" w:type="dxa"/>
            <w:tcBorders>
              <w:top w:val="nil"/>
              <w:left w:val="nil"/>
              <w:bottom w:val="single" w:sz="4" w:space="0" w:color="auto"/>
              <w:right w:val="single" w:sz="4" w:space="0" w:color="auto"/>
            </w:tcBorders>
            <w:shd w:val="clear" w:color="auto" w:fill="auto"/>
            <w:noWrap/>
            <w:vAlign w:val="bottom"/>
            <w:hideMark/>
          </w:tcPr>
          <w:p w14:paraId="0D3FFF18"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10</w:t>
            </w:r>
          </w:p>
        </w:tc>
        <w:tc>
          <w:tcPr>
            <w:tcW w:w="1880" w:type="dxa"/>
            <w:tcBorders>
              <w:top w:val="nil"/>
              <w:left w:val="nil"/>
              <w:bottom w:val="single" w:sz="4" w:space="0" w:color="auto"/>
              <w:right w:val="single" w:sz="4" w:space="0" w:color="auto"/>
            </w:tcBorders>
            <w:shd w:val="clear" w:color="auto" w:fill="auto"/>
            <w:noWrap/>
            <w:vAlign w:val="bottom"/>
            <w:hideMark/>
          </w:tcPr>
          <w:p w14:paraId="6B29FC01"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50</w:t>
            </w:r>
          </w:p>
        </w:tc>
        <w:tc>
          <w:tcPr>
            <w:tcW w:w="1880" w:type="dxa"/>
            <w:tcBorders>
              <w:top w:val="nil"/>
              <w:left w:val="nil"/>
              <w:bottom w:val="single" w:sz="4" w:space="0" w:color="auto"/>
              <w:right w:val="single" w:sz="4" w:space="0" w:color="auto"/>
            </w:tcBorders>
            <w:shd w:val="clear" w:color="auto" w:fill="auto"/>
            <w:noWrap/>
            <w:vAlign w:val="bottom"/>
            <w:hideMark/>
          </w:tcPr>
          <w:p w14:paraId="44B5ACB9" w14:textId="77777777" w:rsidR="00083B9F" w:rsidRPr="00A16307" w:rsidRDefault="00083B9F" w:rsidP="0029721F">
            <w:pPr>
              <w:spacing w:after="0" w:line="240" w:lineRule="auto"/>
              <w:jc w:val="center"/>
              <w:rPr>
                <w:rFonts w:ascii="Calibri" w:eastAsia="Times New Roman" w:hAnsi="Calibri" w:cs="Calibri"/>
                <w:color w:val="000000"/>
                <w:highlight w:val="yellow"/>
              </w:rPr>
            </w:pPr>
            <w:r w:rsidRPr="00A16307">
              <w:rPr>
                <w:rFonts w:ascii="Calibri" w:eastAsia="Times New Roman" w:hAnsi="Calibri" w:cs="Calibri"/>
                <w:color w:val="000000"/>
                <w:highlight w:val="yellow"/>
              </w:rPr>
              <w:t>109</w:t>
            </w:r>
          </w:p>
        </w:tc>
        <w:tc>
          <w:tcPr>
            <w:tcW w:w="1880" w:type="dxa"/>
            <w:tcBorders>
              <w:top w:val="nil"/>
              <w:left w:val="nil"/>
              <w:bottom w:val="single" w:sz="4" w:space="0" w:color="auto"/>
              <w:right w:val="single" w:sz="8" w:space="0" w:color="auto"/>
            </w:tcBorders>
            <w:shd w:val="clear" w:color="auto" w:fill="auto"/>
            <w:noWrap/>
            <w:vAlign w:val="bottom"/>
            <w:hideMark/>
          </w:tcPr>
          <w:p w14:paraId="08B00083"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167</w:t>
            </w:r>
          </w:p>
        </w:tc>
      </w:tr>
      <w:tr w:rsidR="00083B9F" w:rsidRPr="003D2E46" w14:paraId="7525124E" w14:textId="77777777" w:rsidTr="0029721F">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7C3FA83"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September</w:t>
            </w:r>
          </w:p>
        </w:tc>
        <w:tc>
          <w:tcPr>
            <w:tcW w:w="1880" w:type="dxa"/>
            <w:tcBorders>
              <w:top w:val="nil"/>
              <w:left w:val="nil"/>
              <w:bottom w:val="single" w:sz="4" w:space="0" w:color="auto"/>
              <w:right w:val="single" w:sz="4" w:space="0" w:color="auto"/>
            </w:tcBorders>
            <w:shd w:val="clear" w:color="auto" w:fill="auto"/>
            <w:noWrap/>
            <w:vAlign w:val="bottom"/>
            <w:hideMark/>
          </w:tcPr>
          <w:p w14:paraId="046E1F80"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9</w:t>
            </w:r>
          </w:p>
        </w:tc>
        <w:tc>
          <w:tcPr>
            <w:tcW w:w="1880" w:type="dxa"/>
            <w:tcBorders>
              <w:top w:val="nil"/>
              <w:left w:val="nil"/>
              <w:bottom w:val="single" w:sz="4" w:space="0" w:color="auto"/>
              <w:right w:val="single" w:sz="4" w:space="0" w:color="auto"/>
            </w:tcBorders>
            <w:shd w:val="clear" w:color="auto" w:fill="auto"/>
            <w:noWrap/>
            <w:vAlign w:val="bottom"/>
            <w:hideMark/>
          </w:tcPr>
          <w:p w14:paraId="0FBB35EA"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26</w:t>
            </w:r>
          </w:p>
        </w:tc>
        <w:tc>
          <w:tcPr>
            <w:tcW w:w="1880" w:type="dxa"/>
            <w:tcBorders>
              <w:top w:val="nil"/>
              <w:left w:val="nil"/>
              <w:bottom w:val="single" w:sz="4" w:space="0" w:color="auto"/>
              <w:right w:val="single" w:sz="4" w:space="0" w:color="auto"/>
            </w:tcBorders>
            <w:shd w:val="clear" w:color="auto" w:fill="auto"/>
            <w:noWrap/>
            <w:vAlign w:val="bottom"/>
            <w:hideMark/>
          </w:tcPr>
          <w:p w14:paraId="1C0FFF44" w14:textId="77777777" w:rsidR="00083B9F" w:rsidRPr="00A16307" w:rsidRDefault="00083B9F" w:rsidP="0029721F">
            <w:pPr>
              <w:spacing w:after="0" w:line="240" w:lineRule="auto"/>
              <w:jc w:val="center"/>
              <w:rPr>
                <w:rFonts w:ascii="Calibri" w:eastAsia="Times New Roman" w:hAnsi="Calibri" w:cs="Calibri"/>
                <w:color w:val="000000"/>
                <w:highlight w:val="yellow"/>
              </w:rPr>
            </w:pPr>
            <w:r w:rsidRPr="00A16307">
              <w:rPr>
                <w:rFonts w:ascii="Calibri" w:eastAsia="Times New Roman" w:hAnsi="Calibri" w:cs="Calibri"/>
                <w:color w:val="000000"/>
                <w:highlight w:val="yellow"/>
              </w:rPr>
              <w:t>118</w:t>
            </w:r>
          </w:p>
        </w:tc>
        <w:tc>
          <w:tcPr>
            <w:tcW w:w="1880" w:type="dxa"/>
            <w:tcBorders>
              <w:top w:val="nil"/>
              <w:left w:val="nil"/>
              <w:bottom w:val="single" w:sz="4" w:space="0" w:color="auto"/>
              <w:right w:val="single" w:sz="8" w:space="0" w:color="auto"/>
            </w:tcBorders>
            <w:shd w:val="clear" w:color="auto" w:fill="auto"/>
            <w:noWrap/>
            <w:vAlign w:val="bottom"/>
            <w:hideMark/>
          </w:tcPr>
          <w:p w14:paraId="2CC0A274"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299</w:t>
            </w:r>
          </w:p>
        </w:tc>
      </w:tr>
      <w:tr w:rsidR="00083B9F" w:rsidRPr="003D2E46" w14:paraId="255D2D8F" w14:textId="77777777" w:rsidTr="0029721F">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A3C3632"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October</w:t>
            </w:r>
          </w:p>
        </w:tc>
        <w:tc>
          <w:tcPr>
            <w:tcW w:w="1880" w:type="dxa"/>
            <w:tcBorders>
              <w:top w:val="nil"/>
              <w:left w:val="nil"/>
              <w:bottom w:val="single" w:sz="4" w:space="0" w:color="auto"/>
              <w:right w:val="single" w:sz="4" w:space="0" w:color="auto"/>
            </w:tcBorders>
            <w:shd w:val="clear" w:color="auto" w:fill="auto"/>
            <w:noWrap/>
            <w:vAlign w:val="bottom"/>
            <w:hideMark/>
          </w:tcPr>
          <w:p w14:paraId="62F7D961"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0</w:t>
            </w:r>
          </w:p>
        </w:tc>
        <w:tc>
          <w:tcPr>
            <w:tcW w:w="1880" w:type="dxa"/>
            <w:tcBorders>
              <w:top w:val="nil"/>
              <w:left w:val="nil"/>
              <w:bottom w:val="single" w:sz="4" w:space="0" w:color="auto"/>
              <w:right w:val="single" w:sz="4" w:space="0" w:color="auto"/>
            </w:tcBorders>
            <w:shd w:val="clear" w:color="auto" w:fill="auto"/>
            <w:noWrap/>
            <w:vAlign w:val="bottom"/>
            <w:hideMark/>
          </w:tcPr>
          <w:p w14:paraId="595B4770"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0</w:t>
            </w:r>
          </w:p>
        </w:tc>
        <w:tc>
          <w:tcPr>
            <w:tcW w:w="1880" w:type="dxa"/>
            <w:tcBorders>
              <w:top w:val="nil"/>
              <w:left w:val="nil"/>
              <w:bottom w:val="single" w:sz="4" w:space="0" w:color="auto"/>
              <w:right w:val="single" w:sz="4" w:space="0" w:color="auto"/>
            </w:tcBorders>
            <w:shd w:val="clear" w:color="auto" w:fill="auto"/>
            <w:noWrap/>
            <w:vAlign w:val="bottom"/>
            <w:hideMark/>
          </w:tcPr>
          <w:p w14:paraId="1DD06E6E" w14:textId="77777777" w:rsidR="00083B9F" w:rsidRPr="00A16307" w:rsidRDefault="00083B9F" w:rsidP="0029721F">
            <w:pPr>
              <w:spacing w:after="0" w:line="240" w:lineRule="auto"/>
              <w:jc w:val="center"/>
              <w:rPr>
                <w:rFonts w:ascii="Calibri" w:eastAsia="Times New Roman" w:hAnsi="Calibri" w:cs="Calibri"/>
                <w:color w:val="000000"/>
                <w:highlight w:val="yellow"/>
              </w:rPr>
            </w:pPr>
            <w:r w:rsidRPr="00A16307">
              <w:rPr>
                <w:rFonts w:ascii="Calibri" w:eastAsia="Times New Roman" w:hAnsi="Calibri" w:cs="Calibri"/>
                <w:color w:val="000000"/>
                <w:highlight w:val="yellow"/>
              </w:rPr>
              <w:t>0</w:t>
            </w:r>
          </w:p>
        </w:tc>
        <w:tc>
          <w:tcPr>
            <w:tcW w:w="1880" w:type="dxa"/>
            <w:tcBorders>
              <w:top w:val="nil"/>
              <w:left w:val="nil"/>
              <w:bottom w:val="single" w:sz="4" w:space="0" w:color="auto"/>
              <w:right w:val="single" w:sz="8" w:space="0" w:color="auto"/>
            </w:tcBorders>
            <w:shd w:val="clear" w:color="auto" w:fill="auto"/>
            <w:noWrap/>
            <w:vAlign w:val="bottom"/>
            <w:hideMark/>
          </w:tcPr>
          <w:p w14:paraId="60292429"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0</w:t>
            </w:r>
          </w:p>
        </w:tc>
      </w:tr>
      <w:tr w:rsidR="00083B9F" w:rsidRPr="003D2E46" w14:paraId="5A445055" w14:textId="77777777" w:rsidTr="0029721F">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2A999AD"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November</w:t>
            </w:r>
          </w:p>
        </w:tc>
        <w:tc>
          <w:tcPr>
            <w:tcW w:w="1880" w:type="dxa"/>
            <w:tcBorders>
              <w:top w:val="nil"/>
              <w:left w:val="nil"/>
              <w:bottom w:val="single" w:sz="4" w:space="0" w:color="auto"/>
              <w:right w:val="single" w:sz="4" w:space="0" w:color="auto"/>
            </w:tcBorders>
            <w:shd w:val="clear" w:color="auto" w:fill="auto"/>
            <w:noWrap/>
            <w:vAlign w:val="bottom"/>
            <w:hideMark/>
          </w:tcPr>
          <w:p w14:paraId="3F792357"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0</w:t>
            </w:r>
          </w:p>
        </w:tc>
        <w:tc>
          <w:tcPr>
            <w:tcW w:w="1880" w:type="dxa"/>
            <w:tcBorders>
              <w:top w:val="nil"/>
              <w:left w:val="nil"/>
              <w:bottom w:val="single" w:sz="4" w:space="0" w:color="auto"/>
              <w:right w:val="single" w:sz="4" w:space="0" w:color="auto"/>
            </w:tcBorders>
            <w:shd w:val="clear" w:color="auto" w:fill="auto"/>
            <w:noWrap/>
            <w:vAlign w:val="bottom"/>
            <w:hideMark/>
          </w:tcPr>
          <w:p w14:paraId="254DA1DE"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0</w:t>
            </w:r>
          </w:p>
        </w:tc>
        <w:tc>
          <w:tcPr>
            <w:tcW w:w="1880" w:type="dxa"/>
            <w:tcBorders>
              <w:top w:val="nil"/>
              <w:left w:val="nil"/>
              <w:bottom w:val="single" w:sz="4" w:space="0" w:color="auto"/>
              <w:right w:val="single" w:sz="4" w:space="0" w:color="auto"/>
            </w:tcBorders>
            <w:shd w:val="clear" w:color="auto" w:fill="auto"/>
            <w:noWrap/>
            <w:vAlign w:val="bottom"/>
            <w:hideMark/>
          </w:tcPr>
          <w:p w14:paraId="2E478349" w14:textId="77777777" w:rsidR="00083B9F" w:rsidRPr="00A16307" w:rsidRDefault="00083B9F" w:rsidP="0029721F">
            <w:pPr>
              <w:spacing w:after="0" w:line="240" w:lineRule="auto"/>
              <w:jc w:val="center"/>
              <w:rPr>
                <w:rFonts w:ascii="Calibri" w:eastAsia="Times New Roman" w:hAnsi="Calibri" w:cs="Calibri"/>
                <w:color w:val="000000"/>
                <w:highlight w:val="yellow"/>
              </w:rPr>
            </w:pPr>
            <w:r w:rsidRPr="00A16307">
              <w:rPr>
                <w:rFonts w:ascii="Calibri" w:eastAsia="Times New Roman" w:hAnsi="Calibri" w:cs="Calibri"/>
                <w:color w:val="000000"/>
                <w:highlight w:val="yellow"/>
              </w:rPr>
              <w:t>0</w:t>
            </w:r>
          </w:p>
        </w:tc>
        <w:tc>
          <w:tcPr>
            <w:tcW w:w="1880" w:type="dxa"/>
            <w:tcBorders>
              <w:top w:val="nil"/>
              <w:left w:val="nil"/>
              <w:bottom w:val="single" w:sz="4" w:space="0" w:color="auto"/>
              <w:right w:val="single" w:sz="8" w:space="0" w:color="auto"/>
            </w:tcBorders>
            <w:shd w:val="clear" w:color="auto" w:fill="auto"/>
            <w:noWrap/>
            <w:vAlign w:val="bottom"/>
            <w:hideMark/>
          </w:tcPr>
          <w:p w14:paraId="088465DC" w14:textId="77777777" w:rsidR="00083B9F" w:rsidRPr="003D2E46" w:rsidRDefault="00083B9F" w:rsidP="0029721F">
            <w:pPr>
              <w:spacing w:after="0" w:line="240" w:lineRule="auto"/>
              <w:jc w:val="center"/>
              <w:rPr>
                <w:rFonts w:ascii="Calibri" w:eastAsia="Times New Roman" w:hAnsi="Calibri" w:cs="Calibri"/>
                <w:color w:val="000000"/>
              </w:rPr>
            </w:pPr>
            <w:r w:rsidRPr="003D2E46">
              <w:rPr>
                <w:rFonts w:ascii="Calibri" w:eastAsia="Times New Roman" w:hAnsi="Calibri" w:cs="Calibri"/>
                <w:color w:val="000000"/>
              </w:rPr>
              <w:t>0</w:t>
            </w:r>
          </w:p>
        </w:tc>
      </w:tr>
    </w:tbl>
    <w:p w14:paraId="2E365B07" w14:textId="77777777" w:rsidR="00083B9F" w:rsidRDefault="00083B9F" w:rsidP="00083B9F"/>
    <w:p w14:paraId="764ED503" w14:textId="728FD058" w:rsidR="00083B9F" w:rsidRDefault="00EB29C9" w:rsidP="00083B9F">
      <w:r>
        <w:t>All releases occur in August and September</w:t>
      </w:r>
      <w:r w:rsidR="00BD4A08">
        <w:t>,</w:t>
      </w:r>
      <w:r>
        <w:t xml:space="preserve"> </w:t>
      </w:r>
      <w:r w:rsidR="009D4B65">
        <w:t>indicating</w:t>
      </w:r>
      <w:r>
        <w:t xml:space="preserve"> the potential </w:t>
      </w:r>
      <w:r w:rsidR="009D4B65">
        <w:t>for</w:t>
      </w:r>
      <w:r>
        <w:t xml:space="preserve"> temperature benefits during </w:t>
      </w:r>
      <w:r w:rsidRPr="006C673C">
        <w:t xml:space="preserve">the </w:t>
      </w:r>
      <w:r w:rsidR="006C673C" w:rsidRPr="00A16307">
        <w:t>hatch</w:t>
      </w:r>
      <w:r w:rsidRPr="006C673C">
        <w:t xml:space="preserve"> period.</w:t>
      </w:r>
      <w:r>
        <w:t xml:space="preserve"> </w:t>
      </w:r>
      <w:r w:rsidR="00083B9F">
        <w:t xml:space="preserve">Exchanges could, on average, decrease monthly average temperature at Sacramento River below Clear Creek (CCR) by </w:t>
      </w:r>
      <w:r w:rsidR="00DF353E">
        <w:t>up to 0.4</w:t>
      </w:r>
      <w:r w:rsidR="00083B9F">
        <w:t xml:space="preserve"> degrees Fahrenheit in August and September. This decrease in temperature would, on average, reduce temperature-based egg mortality by about 5%. </w:t>
      </w:r>
      <w:r w:rsidR="00E80FB7">
        <w:t>The potential benefit</w:t>
      </w:r>
      <w:r w:rsidR="0035475C">
        <w:t>s</w:t>
      </w:r>
      <w:r w:rsidR="00E80FB7">
        <w:t xml:space="preserve"> of </w:t>
      </w:r>
      <w:r w:rsidR="00083B9F">
        <w:t xml:space="preserve">Shasta exchange on </w:t>
      </w:r>
      <w:r w:rsidR="00E80FB7">
        <w:t xml:space="preserve">water </w:t>
      </w:r>
      <w:r w:rsidR="00083B9F">
        <w:t xml:space="preserve">temperature and </w:t>
      </w:r>
      <w:r w:rsidR="00E80FB7">
        <w:t xml:space="preserve">egg </w:t>
      </w:r>
      <w:r w:rsidR="00083B9F">
        <w:t>mortality are displayed in Tables 4 and 5</w:t>
      </w:r>
      <w:r w:rsidR="00D04888">
        <w:t>, respectively</w:t>
      </w:r>
      <w:r w:rsidR="00083B9F">
        <w:t>.</w:t>
      </w:r>
      <w:r w:rsidR="00F74590">
        <w:t xml:space="preserve"> Please note that Table 4 presents </w:t>
      </w:r>
      <w:r w:rsidR="00A60C1A">
        <w:t xml:space="preserve">average temperature data </w:t>
      </w:r>
      <w:r w:rsidR="002F0B53">
        <w:t>in years with exchange operation</w:t>
      </w:r>
      <w:r w:rsidR="00A60C1A">
        <w:t>s</w:t>
      </w:r>
      <w:r w:rsidR="002F0B53">
        <w:t>.</w:t>
      </w:r>
    </w:p>
    <w:p w14:paraId="55573A83" w14:textId="2D674B52" w:rsidR="00D04888" w:rsidRDefault="00D04888" w:rsidP="00A16307">
      <w:pPr>
        <w:keepNext/>
        <w:spacing w:after="0"/>
      </w:pPr>
      <w:r>
        <w:t>Table 4: Summary of Temperature Benefits at CCR</w:t>
      </w:r>
    </w:p>
    <w:tbl>
      <w:tblPr>
        <w:tblW w:w="7340" w:type="dxa"/>
        <w:tblLook w:val="04A0" w:firstRow="1" w:lastRow="0" w:firstColumn="1" w:lastColumn="0" w:noHBand="0" w:noVBand="1"/>
      </w:tblPr>
      <w:tblGrid>
        <w:gridCol w:w="1700"/>
        <w:gridCol w:w="1880"/>
        <w:gridCol w:w="1880"/>
        <w:gridCol w:w="1880"/>
      </w:tblGrid>
      <w:tr w:rsidR="00D04888" w:rsidRPr="00D04888" w14:paraId="046ABE8B" w14:textId="77777777" w:rsidTr="00D04888">
        <w:trPr>
          <w:trHeight w:val="600"/>
        </w:trPr>
        <w:tc>
          <w:tcPr>
            <w:tcW w:w="1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3AAD2F5" w14:textId="77777777" w:rsidR="00D04888" w:rsidRPr="00D04888" w:rsidRDefault="00D04888" w:rsidP="00A16307">
            <w:pPr>
              <w:keepNext/>
              <w:keepLines/>
              <w:spacing w:after="0" w:line="240" w:lineRule="auto"/>
              <w:jc w:val="center"/>
              <w:rPr>
                <w:rFonts w:ascii="Calibri" w:eastAsia="Times New Roman" w:hAnsi="Calibri" w:cs="Calibri"/>
                <w:b/>
                <w:bCs/>
                <w:color w:val="000000"/>
              </w:rPr>
            </w:pPr>
            <w:r w:rsidRPr="00D04888">
              <w:rPr>
                <w:rFonts w:ascii="Calibri" w:eastAsia="Times New Roman" w:hAnsi="Calibri" w:cs="Calibri"/>
                <w:b/>
                <w:bCs/>
                <w:color w:val="000000"/>
              </w:rPr>
              <w:t>Month</w:t>
            </w:r>
          </w:p>
        </w:tc>
        <w:tc>
          <w:tcPr>
            <w:tcW w:w="1880" w:type="dxa"/>
            <w:tcBorders>
              <w:top w:val="single" w:sz="8" w:space="0" w:color="auto"/>
              <w:left w:val="nil"/>
              <w:bottom w:val="single" w:sz="4" w:space="0" w:color="auto"/>
              <w:right w:val="single" w:sz="4" w:space="0" w:color="auto"/>
            </w:tcBorders>
            <w:shd w:val="clear" w:color="auto" w:fill="auto"/>
            <w:vAlign w:val="bottom"/>
            <w:hideMark/>
          </w:tcPr>
          <w:p w14:paraId="3B6BCDCE" w14:textId="77777777" w:rsidR="00D04888" w:rsidRPr="00D04888" w:rsidRDefault="00D04888" w:rsidP="00A16307">
            <w:pPr>
              <w:keepNext/>
              <w:keepLines/>
              <w:spacing w:after="0" w:line="240" w:lineRule="auto"/>
              <w:jc w:val="center"/>
              <w:rPr>
                <w:rFonts w:ascii="Calibri" w:eastAsia="Times New Roman" w:hAnsi="Calibri" w:cs="Calibri"/>
                <w:b/>
                <w:bCs/>
                <w:color w:val="000000"/>
              </w:rPr>
            </w:pPr>
            <w:r w:rsidRPr="00D04888">
              <w:rPr>
                <w:rFonts w:ascii="Calibri" w:eastAsia="Times New Roman" w:hAnsi="Calibri" w:cs="Calibri"/>
                <w:b/>
                <w:bCs/>
                <w:color w:val="000000"/>
              </w:rPr>
              <w:t>Original Temp at CCR (deg F)</w:t>
            </w:r>
          </w:p>
        </w:tc>
        <w:tc>
          <w:tcPr>
            <w:tcW w:w="1880" w:type="dxa"/>
            <w:tcBorders>
              <w:top w:val="single" w:sz="8" w:space="0" w:color="auto"/>
              <w:left w:val="nil"/>
              <w:bottom w:val="single" w:sz="4" w:space="0" w:color="auto"/>
              <w:right w:val="single" w:sz="4" w:space="0" w:color="auto"/>
            </w:tcBorders>
            <w:shd w:val="clear" w:color="auto" w:fill="auto"/>
            <w:vAlign w:val="center"/>
            <w:hideMark/>
          </w:tcPr>
          <w:p w14:paraId="31C338A5" w14:textId="77777777" w:rsidR="00D04888" w:rsidRPr="00D04888" w:rsidRDefault="00D04888" w:rsidP="00A16307">
            <w:pPr>
              <w:keepNext/>
              <w:keepLines/>
              <w:spacing w:after="0" w:line="240" w:lineRule="auto"/>
              <w:jc w:val="center"/>
              <w:rPr>
                <w:rFonts w:ascii="Calibri" w:eastAsia="Times New Roman" w:hAnsi="Calibri" w:cs="Calibri"/>
                <w:b/>
                <w:bCs/>
                <w:color w:val="000000"/>
              </w:rPr>
            </w:pPr>
            <w:r w:rsidRPr="00D04888">
              <w:rPr>
                <w:rFonts w:ascii="Calibri" w:eastAsia="Times New Roman" w:hAnsi="Calibri" w:cs="Calibri"/>
                <w:b/>
                <w:bCs/>
                <w:color w:val="000000"/>
              </w:rPr>
              <w:t>Temp Decrease (deg F)</w:t>
            </w:r>
          </w:p>
        </w:tc>
        <w:tc>
          <w:tcPr>
            <w:tcW w:w="1880" w:type="dxa"/>
            <w:tcBorders>
              <w:top w:val="single" w:sz="8" w:space="0" w:color="auto"/>
              <w:left w:val="nil"/>
              <w:bottom w:val="single" w:sz="4" w:space="0" w:color="auto"/>
              <w:right w:val="single" w:sz="8" w:space="0" w:color="auto"/>
            </w:tcBorders>
            <w:shd w:val="clear" w:color="auto" w:fill="auto"/>
            <w:vAlign w:val="center"/>
            <w:hideMark/>
          </w:tcPr>
          <w:p w14:paraId="2960DF7E" w14:textId="77777777" w:rsidR="00D04888" w:rsidRPr="00D04888" w:rsidRDefault="00D04888" w:rsidP="00A16307">
            <w:pPr>
              <w:keepNext/>
              <w:keepLines/>
              <w:spacing w:after="0" w:line="240" w:lineRule="auto"/>
              <w:jc w:val="center"/>
              <w:rPr>
                <w:rFonts w:ascii="Calibri" w:eastAsia="Times New Roman" w:hAnsi="Calibri" w:cs="Calibri"/>
                <w:b/>
                <w:bCs/>
                <w:color w:val="000000"/>
              </w:rPr>
            </w:pPr>
            <w:r w:rsidRPr="00D04888">
              <w:rPr>
                <w:rFonts w:ascii="Calibri" w:eastAsia="Times New Roman" w:hAnsi="Calibri" w:cs="Calibri"/>
                <w:b/>
                <w:bCs/>
                <w:color w:val="000000"/>
              </w:rPr>
              <w:t>Modified Temp at CCR (deg F)</w:t>
            </w:r>
          </w:p>
        </w:tc>
      </w:tr>
      <w:tr w:rsidR="00D04888" w:rsidRPr="00D04888" w14:paraId="7B7C5550" w14:textId="77777777" w:rsidTr="00D04888">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E1C7ED7" w14:textId="77777777" w:rsidR="00D04888" w:rsidRPr="00D04888" w:rsidRDefault="00D04888" w:rsidP="00A16307">
            <w:pPr>
              <w:keepNext/>
              <w:keepLines/>
              <w:spacing w:after="0" w:line="240" w:lineRule="auto"/>
              <w:jc w:val="center"/>
              <w:rPr>
                <w:rFonts w:ascii="Calibri" w:eastAsia="Times New Roman" w:hAnsi="Calibri" w:cs="Calibri"/>
                <w:color w:val="000000"/>
              </w:rPr>
            </w:pPr>
            <w:r w:rsidRPr="00D04888">
              <w:rPr>
                <w:rFonts w:ascii="Calibri" w:eastAsia="Times New Roman" w:hAnsi="Calibri" w:cs="Calibri"/>
                <w:color w:val="000000"/>
              </w:rPr>
              <w:t>August</w:t>
            </w:r>
          </w:p>
        </w:tc>
        <w:tc>
          <w:tcPr>
            <w:tcW w:w="1880" w:type="dxa"/>
            <w:tcBorders>
              <w:top w:val="nil"/>
              <w:left w:val="nil"/>
              <w:bottom w:val="single" w:sz="4" w:space="0" w:color="auto"/>
              <w:right w:val="single" w:sz="4" w:space="0" w:color="auto"/>
            </w:tcBorders>
            <w:shd w:val="clear" w:color="auto" w:fill="auto"/>
            <w:noWrap/>
            <w:vAlign w:val="bottom"/>
            <w:hideMark/>
          </w:tcPr>
          <w:p w14:paraId="763AB540" w14:textId="77777777" w:rsidR="00D04888" w:rsidRPr="00D04888" w:rsidRDefault="00D04888" w:rsidP="00A16307">
            <w:pPr>
              <w:keepNext/>
              <w:keepLines/>
              <w:spacing w:after="0" w:line="240" w:lineRule="auto"/>
              <w:jc w:val="center"/>
              <w:rPr>
                <w:rFonts w:ascii="Calibri" w:eastAsia="Times New Roman" w:hAnsi="Calibri" w:cs="Calibri"/>
                <w:color w:val="000000"/>
              </w:rPr>
            </w:pPr>
            <w:r w:rsidRPr="00D04888">
              <w:rPr>
                <w:rFonts w:ascii="Calibri" w:eastAsia="Times New Roman" w:hAnsi="Calibri" w:cs="Calibri"/>
                <w:color w:val="000000"/>
              </w:rPr>
              <w:t>54.69</w:t>
            </w:r>
          </w:p>
        </w:tc>
        <w:tc>
          <w:tcPr>
            <w:tcW w:w="1880" w:type="dxa"/>
            <w:tcBorders>
              <w:top w:val="nil"/>
              <w:left w:val="nil"/>
              <w:bottom w:val="single" w:sz="4" w:space="0" w:color="auto"/>
              <w:right w:val="single" w:sz="4" w:space="0" w:color="auto"/>
            </w:tcBorders>
            <w:shd w:val="clear" w:color="auto" w:fill="auto"/>
            <w:noWrap/>
            <w:vAlign w:val="bottom"/>
            <w:hideMark/>
          </w:tcPr>
          <w:p w14:paraId="45484C77" w14:textId="77777777" w:rsidR="00D04888" w:rsidRPr="00D04888" w:rsidRDefault="00D04888" w:rsidP="00A16307">
            <w:pPr>
              <w:keepNext/>
              <w:keepLines/>
              <w:spacing w:after="0" w:line="240" w:lineRule="auto"/>
              <w:jc w:val="center"/>
              <w:rPr>
                <w:rFonts w:ascii="Calibri" w:eastAsia="Times New Roman" w:hAnsi="Calibri" w:cs="Calibri"/>
                <w:color w:val="000000"/>
              </w:rPr>
            </w:pPr>
            <w:r w:rsidRPr="00D04888">
              <w:rPr>
                <w:rFonts w:ascii="Calibri" w:eastAsia="Times New Roman" w:hAnsi="Calibri" w:cs="Calibri"/>
                <w:color w:val="000000"/>
              </w:rPr>
              <w:t>-0.44</w:t>
            </w:r>
          </w:p>
        </w:tc>
        <w:tc>
          <w:tcPr>
            <w:tcW w:w="1880" w:type="dxa"/>
            <w:tcBorders>
              <w:top w:val="nil"/>
              <w:left w:val="nil"/>
              <w:bottom w:val="single" w:sz="4" w:space="0" w:color="auto"/>
              <w:right w:val="single" w:sz="8" w:space="0" w:color="auto"/>
            </w:tcBorders>
            <w:shd w:val="clear" w:color="auto" w:fill="auto"/>
            <w:noWrap/>
            <w:vAlign w:val="bottom"/>
            <w:hideMark/>
          </w:tcPr>
          <w:p w14:paraId="01AA4095" w14:textId="77777777" w:rsidR="00D04888" w:rsidRPr="00D04888" w:rsidRDefault="00D04888" w:rsidP="00A16307">
            <w:pPr>
              <w:keepNext/>
              <w:keepLines/>
              <w:spacing w:after="0" w:line="240" w:lineRule="auto"/>
              <w:jc w:val="center"/>
              <w:rPr>
                <w:rFonts w:ascii="Calibri" w:eastAsia="Times New Roman" w:hAnsi="Calibri" w:cs="Calibri"/>
                <w:color w:val="000000"/>
              </w:rPr>
            </w:pPr>
            <w:r w:rsidRPr="00D04888">
              <w:rPr>
                <w:rFonts w:ascii="Calibri" w:eastAsia="Times New Roman" w:hAnsi="Calibri" w:cs="Calibri"/>
                <w:color w:val="000000"/>
              </w:rPr>
              <w:t>54.25</w:t>
            </w:r>
          </w:p>
        </w:tc>
      </w:tr>
      <w:tr w:rsidR="00D04888" w:rsidRPr="00D04888" w14:paraId="28EEE0DA" w14:textId="77777777" w:rsidTr="00D04888">
        <w:trPr>
          <w:trHeight w:val="288"/>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6BE1DF50" w14:textId="77777777" w:rsidR="00D04888" w:rsidRPr="00D04888" w:rsidRDefault="00D04888" w:rsidP="00D04888">
            <w:pPr>
              <w:spacing w:after="0" w:line="240" w:lineRule="auto"/>
              <w:jc w:val="center"/>
              <w:rPr>
                <w:rFonts w:ascii="Calibri" w:eastAsia="Times New Roman" w:hAnsi="Calibri" w:cs="Calibri"/>
                <w:color w:val="000000"/>
              </w:rPr>
            </w:pPr>
            <w:r w:rsidRPr="00D04888">
              <w:rPr>
                <w:rFonts w:ascii="Calibri" w:eastAsia="Times New Roman" w:hAnsi="Calibri" w:cs="Calibri"/>
                <w:color w:val="000000"/>
              </w:rPr>
              <w:t>September</w:t>
            </w:r>
          </w:p>
        </w:tc>
        <w:tc>
          <w:tcPr>
            <w:tcW w:w="1880" w:type="dxa"/>
            <w:tcBorders>
              <w:top w:val="nil"/>
              <w:left w:val="nil"/>
              <w:bottom w:val="single" w:sz="4" w:space="0" w:color="auto"/>
              <w:right w:val="single" w:sz="4" w:space="0" w:color="auto"/>
            </w:tcBorders>
            <w:shd w:val="clear" w:color="auto" w:fill="auto"/>
            <w:noWrap/>
            <w:vAlign w:val="bottom"/>
            <w:hideMark/>
          </w:tcPr>
          <w:p w14:paraId="5340F22D" w14:textId="77777777" w:rsidR="00D04888" w:rsidRPr="00D04888" w:rsidRDefault="00D04888" w:rsidP="00D04888">
            <w:pPr>
              <w:spacing w:after="0" w:line="240" w:lineRule="auto"/>
              <w:jc w:val="center"/>
              <w:rPr>
                <w:rFonts w:ascii="Calibri" w:eastAsia="Times New Roman" w:hAnsi="Calibri" w:cs="Calibri"/>
                <w:color w:val="000000"/>
              </w:rPr>
            </w:pPr>
            <w:r w:rsidRPr="00D04888">
              <w:rPr>
                <w:rFonts w:ascii="Calibri" w:eastAsia="Times New Roman" w:hAnsi="Calibri" w:cs="Calibri"/>
                <w:color w:val="000000"/>
              </w:rPr>
              <w:t>56.48</w:t>
            </w:r>
          </w:p>
        </w:tc>
        <w:tc>
          <w:tcPr>
            <w:tcW w:w="1880" w:type="dxa"/>
            <w:tcBorders>
              <w:top w:val="nil"/>
              <w:left w:val="nil"/>
              <w:bottom w:val="single" w:sz="4" w:space="0" w:color="auto"/>
              <w:right w:val="single" w:sz="4" w:space="0" w:color="auto"/>
            </w:tcBorders>
            <w:shd w:val="clear" w:color="auto" w:fill="auto"/>
            <w:noWrap/>
            <w:vAlign w:val="bottom"/>
            <w:hideMark/>
          </w:tcPr>
          <w:p w14:paraId="7D979AC2" w14:textId="77777777" w:rsidR="00D04888" w:rsidRPr="00D04888" w:rsidRDefault="00D04888" w:rsidP="00D04888">
            <w:pPr>
              <w:spacing w:after="0" w:line="240" w:lineRule="auto"/>
              <w:jc w:val="center"/>
              <w:rPr>
                <w:rFonts w:ascii="Calibri" w:eastAsia="Times New Roman" w:hAnsi="Calibri" w:cs="Calibri"/>
                <w:color w:val="000000"/>
              </w:rPr>
            </w:pPr>
            <w:r w:rsidRPr="00D04888">
              <w:rPr>
                <w:rFonts w:ascii="Calibri" w:eastAsia="Times New Roman" w:hAnsi="Calibri" w:cs="Calibri"/>
                <w:color w:val="000000"/>
              </w:rPr>
              <w:t>-0.37</w:t>
            </w:r>
          </w:p>
        </w:tc>
        <w:tc>
          <w:tcPr>
            <w:tcW w:w="1880" w:type="dxa"/>
            <w:tcBorders>
              <w:top w:val="nil"/>
              <w:left w:val="nil"/>
              <w:bottom w:val="single" w:sz="4" w:space="0" w:color="auto"/>
              <w:right w:val="single" w:sz="8" w:space="0" w:color="auto"/>
            </w:tcBorders>
            <w:shd w:val="clear" w:color="auto" w:fill="auto"/>
            <w:noWrap/>
            <w:vAlign w:val="bottom"/>
            <w:hideMark/>
          </w:tcPr>
          <w:p w14:paraId="3C1912B1" w14:textId="77777777" w:rsidR="00D04888" w:rsidRPr="00D04888" w:rsidRDefault="00D04888" w:rsidP="00D04888">
            <w:pPr>
              <w:spacing w:after="0" w:line="240" w:lineRule="auto"/>
              <w:jc w:val="center"/>
              <w:rPr>
                <w:rFonts w:ascii="Calibri" w:eastAsia="Times New Roman" w:hAnsi="Calibri" w:cs="Calibri"/>
                <w:color w:val="000000"/>
              </w:rPr>
            </w:pPr>
            <w:r w:rsidRPr="00D04888">
              <w:rPr>
                <w:rFonts w:ascii="Calibri" w:eastAsia="Times New Roman" w:hAnsi="Calibri" w:cs="Calibri"/>
                <w:color w:val="000000"/>
              </w:rPr>
              <w:t>56.11</w:t>
            </w:r>
          </w:p>
        </w:tc>
      </w:tr>
    </w:tbl>
    <w:p w14:paraId="662119AD" w14:textId="40DAD947" w:rsidR="00D04888" w:rsidRDefault="00D04888" w:rsidP="00083B9F"/>
    <w:p w14:paraId="26CE55DB" w14:textId="664BFFA0" w:rsidR="00D04888" w:rsidRDefault="00D04888" w:rsidP="003221AD">
      <w:pPr>
        <w:keepNext/>
        <w:spacing w:after="0"/>
      </w:pPr>
      <w:r>
        <w:t xml:space="preserve">Table 5: Summary of Temperature-based Egg Mortality Benefits </w:t>
      </w:r>
    </w:p>
    <w:tbl>
      <w:tblPr>
        <w:tblW w:w="8448" w:type="dxa"/>
        <w:tblLayout w:type="fixed"/>
        <w:tblLook w:val="04A0" w:firstRow="1" w:lastRow="0" w:firstColumn="1" w:lastColumn="0" w:noHBand="0" w:noVBand="1"/>
      </w:tblPr>
      <w:tblGrid>
        <w:gridCol w:w="1106"/>
        <w:gridCol w:w="1223"/>
        <w:gridCol w:w="1224"/>
        <w:gridCol w:w="1224"/>
        <w:gridCol w:w="1223"/>
        <w:gridCol w:w="1224"/>
        <w:gridCol w:w="1224"/>
      </w:tblGrid>
      <w:tr w:rsidR="003221AD" w:rsidRPr="003221AD" w14:paraId="08D32405" w14:textId="77777777" w:rsidTr="003221AD">
        <w:trPr>
          <w:trHeight w:val="389"/>
        </w:trPr>
        <w:tc>
          <w:tcPr>
            <w:tcW w:w="110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E553509" w14:textId="77777777" w:rsidR="003221AD" w:rsidRPr="003221AD" w:rsidRDefault="003221AD" w:rsidP="003221AD">
            <w:pPr>
              <w:keepNext/>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Mortality Model</w:t>
            </w:r>
          </w:p>
        </w:tc>
        <w:tc>
          <w:tcPr>
            <w:tcW w:w="3671" w:type="dxa"/>
            <w:gridSpan w:val="3"/>
            <w:tcBorders>
              <w:top w:val="single" w:sz="8" w:space="0" w:color="auto"/>
              <w:left w:val="nil"/>
              <w:bottom w:val="single" w:sz="4" w:space="0" w:color="auto"/>
              <w:right w:val="single" w:sz="4" w:space="0" w:color="auto"/>
            </w:tcBorders>
            <w:shd w:val="clear" w:color="auto" w:fill="auto"/>
            <w:noWrap/>
            <w:vAlign w:val="bottom"/>
            <w:hideMark/>
          </w:tcPr>
          <w:p w14:paraId="05E07610" w14:textId="77777777" w:rsidR="003221AD" w:rsidRPr="003221AD" w:rsidRDefault="003221AD" w:rsidP="003221AD">
            <w:pPr>
              <w:keepNext/>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All Years</w:t>
            </w:r>
          </w:p>
        </w:tc>
        <w:tc>
          <w:tcPr>
            <w:tcW w:w="3671"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F1DE47C" w14:textId="77777777" w:rsidR="003221AD" w:rsidRPr="003221AD" w:rsidRDefault="003221AD" w:rsidP="003221AD">
            <w:pPr>
              <w:keepNext/>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Exchange Years</w:t>
            </w:r>
          </w:p>
        </w:tc>
      </w:tr>
      <w:tr w:rsidR="003221AD" w:rsidRPr="003221AD" w14:paraId="43C0887B" w14:textId="77777777" w:rsidTr="003221AD">
        <w:trPr>
          <w:trHeight w:val="389"/>
        </w:trPr>
        <w:tc>
          <w:tcPr>
            <w:tcW w:w="1106" w:type="dxa"/>
            <w:vMerge/>
            <w:tcBorders>
              <w:top w:val="single" w:sz="8" w:space="0" w:color="auto"/>
              <w:left w:val="single" w:sz="8" w:space="0" w:color="auto"/>
              <w:bottom w:val="single" w:sz="4" w:space="0" w:color="auto"/>
              <w:right w:val="single" w:sz="4" w:space="0" w:color="auto"/>
            </w:tcBorders>
            <w:vAlign w:val="center"/>
            <w:hideMark/>
          </w:tcPr>
          <w:p w14:paraId="2719856C" w14:textId="77777777" w:rsidR="003221AD" w:rsidRPr="003221AD" w:rsidRDefault="003221AD" w:rsidP="003221AD">
            <w:pPr>
              <w:keepNext/>
              <w:spacing w:after="0" w:line="240" w:lineRule="auto"/>
              <w:rPr>
                <w:rFonts w:ascii="Calibri" w:eastAsia="Times New Roman" w:hAnsi="Calibri" w:cs="Calibri"/>
                <w:b/>
                <w:bCs/>
                <w:color w:val="000000"/>
              </w:rPr>
            </w:pPr>
          </w:p>
        </w:tc>
        <w:tc>
          <w:tcPr>
            <w:tcW w:w="1223" w:type="dxa"/>
            <w:tcBorders>
              <w:top w:val="nil"/>
              <w:left w:val="nil"/>
              <w:bottom w:val="single" w:sz="4" w:space="0" w:color="auto"/>
              <w:right w:val="single" w:sz="4" w:space="0" w:color="auto"/>
            </w:tcBorders>
            <w:shd w:val="clear" w:color="auto" w:fill="auto"/>
            <w:noWrap/>
            <w:vAlign w:val="bottom"/>
            <w:hideMark/>
          </w:tcPr>
          <w:p w14:paraId="19203D27" w14:textId="0FC719D1" w:rsidR="003221AD" w:rsidRPr="003221AD" w:rsidRDefault="003221AD" w:rsidP="003221AD">
            <w:pPr>
              <w:keepNext/>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Original</w:t>
            </w:r>
            <w:r>
              <w:rPr>
                <w:rFonts w:ascii="Calibri" w:eastAsia="Times New Roman" w:hAnsi="Calibri" w:cs="Calibri"/>
                <w:b/>
                <w:bCs/>
                <w:color w:val="000000"/>
              </w:rPr>
              <w:t xml:space="preserve"> Mortality</w:t>
            </w:r>
          </w:p>
        </w:tc>
        <w:tc>
          <w:tcPr>
            <w:tcW w:w="1224" w:type="dxa"/>
            <w:tcBorders>
              <w:top w:val="nil"/>
              <w:left w:val="nil"/>
              <w:bottom w:val="single" w:sz="4" w:space="0" w:color="auto"/>
              <w:right w:val="single" w:sz="4" w:space="0" w:color="auto"/>
            </w:tcBorders>
            <w:shd w:val="clear" w:color="auto" w:fill="auto"/>
            <w:noWrap/>
            <w:vAlign w:val="bottom"/>
            <w:hideMark/>
          </w:tcPr>
          <w:p w14:paraId="04D6CE7F" w14:textId="13B25EF0" w:rsidR="003221AD" w:rsidRPr="003221AD" w:rsidRDefault="003221AD" w:rsidP="003221AD">
            <w:pPr>
              <w:keepNext/>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Modified</w:t>
            </w:r>
            <w:r>
              <w:rPr>
                <w:rFonts w:ascii="Calibri" w:eastAsia="Times New Roman" w:hAnsi="Calibri" w:cs="Calibri"/>
                <w:b/>
                <w:bCs/>
                <w:color w:val="000000"/>
              </w:rPr>
              <w:t xml:space="preserve"> Mortality</w:t>
            </w:r>
          </w:p>
        </w:tc>
        <w:tc>
          <w:tcPr>
            <w:tcW w:w="1224" w:type="dxa"/>
            <w:tcBorders>
              <w:top w:val="nil"/>
              <w:left w:val="nil"/>
              <w:bottom w:val="single" w:sz="4" w:space="0" w:color="auto"/>
              <w:right w:val="single" w:sz="4" w:space="0" w:color="auto"/>
            </w:tcBorders>
            <w:shd w:val="clear" w:color="auto" w:fill="auto"/>
            <w:noWrap/>
            <w:vAlign w:val="bottom"/>
            <w:hideMark/>
          </w:tcPr>
          <w:p w14:paraId="3FBCA2FF" w14:textId="77777777" w:rsidR="003221AD" w:rsidRPr="003221AD" w:rsidRDefault="003221AD" w:rsidP="003221AD">
            <w:pPr>
              <w:keepNext/>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Reduction</w:t>
            </w:r>
          </w:p>
        </w:tc>
        <w:tc>
          <w:tcPr>
            <w:tcW w:w="1223" w:type="dxa"/>
            <w:tcBorders>
              <w:top w:val="nil"/>
              <w:left w:val="nil"/>
              <w:bottom w:val="single" w:sz="4" w:space="0" w:color="auto"/>
              <w:right w:val="single" w:sz="4" w:space="0" w:color="auto"/>
            </w:tcBorders>
            <w:shd w:val="clear" w:color="auto" w:fill="auto"/>
            <w:noWrap/>
            <w:vAlign w:val="bottom"/>
            <w:hideMark/>
          </w:tcPr>
          <w:p w14:paraId="42C5E7B4" w14:textId="6776BCB4" w:rsidR="003221AD" w:rsidRPr="003221AD" w:rsidRDefault="003221AD" w:rsidP="003221AD">
            <w:pPr>
              <w:keepNext/>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Original</w:t>
            </w:r>
            <w:r>
              <w:rPr>
                <w:rFonts w:ascii="Calibri" w:eastAsia="Times New Roman" w:hAnsi="Calibri" w:cs="Calibri"/>
                <w:b/>
                <w:bCs/>
                <w:color w:val="000000"/>
              </w:rPr>
              <w:t xml:space="preserve"> Mortality</w:t>
            </w:r>
          </w:p>
        </w:tc>
        <w:tc>
          <w:tcPr>
            <w:tcW w:w="1224" w:type="dxa"/>
            <w:tcBorders>
              <w:top w:val="nil"/>
              <w:left w:val="nil"/>
              <w:bottom w:val="single" w:sz="4" w:space="0" w:color="auto"/>
              <w:right w:val="single" w:sz="4" w:space="0" w:color="auto"/>
            </w:tcBorders>
            <w:shd w:val="clear" w:color="auto" w:fill="auto"/>
            <w:noWrap/>
            <w:vAlign w:val="bottom"/>
            <w:hideMark/>
          </w:tcPr>
          <w:p w14:paraId="3D56C0C7" w14:textId="38AA2DF7" w:rsidR="003221AD" w:rsidRPr="003221AD" w:rsidRDefault="003221AD" w:rsidP="003221AD">
            <w:pPr>
              <w:keepNext/>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Modified</w:t>
            </w:r>
            <w:r>
              <w:rPr>
                <w:rFonts w:ascii="Calibri" w:eastAsia="Times New Roman" w:hAnsi="Calibri" w:cs="Calibri"/>
                <w:b/>
                <w:bCs/>
                <w:color w:val="000000"/>
              </w:rPr>
              <w:t xml:space="preserve"> Mortality</w:t>
            </w:r>
          </w:p>
        </w:tc>
        <w:tc>
          <w:tcPr>
            <w:tcW w:w="1224" w:type="dxa"/>
            <w:tcBorders>
              <w:top w:val="nil"/>
              <w:left w:val="nil"/>
              <w:bottom w:val="single" w:sz="4" w:space="0" w:color="auto"/>
              <w:right w:val="single" w:sz="8" w:space="0" w:color="auto"/>
            </w:tcBorders>
            <w:shd w:val="clear" w:color="auto" w:fill="auto"/>
            <w:noWrap/>
            <w:vAlign w:val="bottom"/>
            <w:hideMark/>
          </w:tcPr>
          <w:p w14:paraId="442E6AB5" w14:textId="77777777" w:rsidR="003221AD" w:rsidRPr="003221AD" w:rsidRDefault="003221AD" w:rsidP="003221AD">
            <w:pPr>
              <w:keepNext/>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Reduction</w:t>
            </w:r>
          </w:p>
        </w:tc>
      </w:tr>
      <w:tr w:rsidR="003221AD" w:rsidRPr="003221AD" w14:paraId="30A3243F" w14:textId="77777777" w:rsidTr="003221AD">
        <w:trPr>
          <w:trHeight w:val="389"/>
        </w:trPr>
        <w:tc>
          <w:tcPr>
            <w:tcW w:w="1106" w:type="dxa"/>
            <w:tcBorders>
              <w:top w:val="nil"/>
              <w:left w:val="single" w:sz="8" w:space="0" w:color="auto"/>
              <w:bottom w:val="single" w:sz="4" w:space="0" w:color="auto"/>
              <w:right w:val="single" w:sz="4" w:space="0" w:color="auto"/>
            </w:tcBorders>
            <w:shd w:val="clear" w:color="auto" w:fill="auto"/>
            <w:noWrap/>
            <w:vAlign w:val="bottom"/>
            <w:hideMark/>
          </w:tcPr>
          <w:p w14:paraId="4C40B1A5" w14:textId="77777777" w:rsidR="003221AD" w:rsidRPr="003221AD" w:rsidRDefault="003221AD" w:rsidP="003221AD">
            <w:pPr>
              <w:keepNext/>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Martin</w:t>
            </w:r>
          </w:p>
        </w:tc>
        <w:tc>
          <w:tcPr>
            <w:tcW w:w="1223" w:type="dxa"/>
            <w:tcBorders>
              <w:top w:val="nil"/>
              <w:left w:val="nil"/>
              <w:bottom w:val="single" w:sz="4" w:space="0" w:color="auto"/>
              <w:right w:val="single" w:sz="4" w:space="0" w:color="auto"/>
            </w:tcBorders>
            <w:shd w:val="clear" w:color="auto" w:fill="auto"/>
            <w:noWrap/>
            <w:vAlign w:val="bottom"/>
            <w:hideMark/>
          </w:tcPr>
          <w:p w14:paraId="68EBF469" w14:textId="77777777" w:rsidR="003221AD" w:rsidRPr="003221AD" w:rsidRDefault="003221AD" w:rsidP="003221AD">
            <w:pPr>
              <w:keepNext/>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15.15%</w:t>
            </w:r>
          </w:p>
        </w:tc>
        <w:tc>
          <w:tcPr>
            <w:tcW w:w="1224" w:type="dxa"/>
            <w:tcBorders>
              <w:top w:val="nil"/>
              <w:left w:val="nil"/>
              <w:bottom w:val="single" w:sz="4" w:space="0" w:color="auto"/>
              <w:right w:val="single" w:sz="4" w:space="0" w:color="auto"/>
            </w:tcBorders>
            <w:shd w:val="clear" w:color="auto" w:fill="auto"/>
            <w:noWrap/>
            <w:vAlign w:val="bottom"/>
            <w:hideMark/>
          </w:tcPr>
          <w:p w14:paraId="3F0C4872" w14:textId="77777777" w:rsidR="003221AD" w:rsidRPr="003221AD" w:rsidRDefault="003221AD" w:rsidP="003221AD">
            <w:pPr>
              <w:keepNext/>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14.55%</w:t>
            </w:r>
          </w:p>
        </w:tc>
        <w:tc>
          <w:tcPr>
            <w:tcW w:w="1224" w:type="dxa"/>
            <w:tcBorders>
              <w:top w:val="nil"/>
              <w:left w:val="nil"/>
              <w:bottom w:val="single" w:sz="4" w:space="0" w:color="auto"/>
              <w:right w:val="single" w:sz="4" w:space="0" w:color="auto"/>
            </w:tcBorders>
            <w:shd w:val="clear" w:color="auto" w:fill="auto"/>
            <w:noWrap/>
            <w:vAlign w:val="bottom"/>
            <w:hideMark/>
          </w:tcPr>
          <w:p w14:paraId="55441142" w14:textId="77777777" w:rsidR="003221AD" w:rsidRPr="003221AD" w:rsidRDefault="003221AD" w:rsidP="003221AD">
            <w:pPr>
              <w:keepNext/>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0.60%</w:t>
            </w:r>
          </w:p>
        </w:tc>
        <w:tc>
          <w:tcPr>
            <w:tcW w:w="1223" w:type="dxa"/>
            <w:tcBorders>
              <w:top w:val="nil"/>
              <w:left w:val="nil"/>
              <w:bottom w:val="single" w:sz="4" w:space="0" w:color="auto"/>
              <w:right w:val="single" w:sz="4" w:space="0" w:color="auto"/>
            </w:tcBorders>
            <w:shd w:val="clear" w:color="auto" w:fill="auto"/>
            <w:noWrap/>
            <w:vAlign w:val="bottom"/>
            <w:hideMark/>
          </w:tcPr>
          <w:p w14:paraId="2F56F4A2" w14:textId="77777777" w:rsidR="003221AD" w:rsidRPr="003221AD" w:rsidRDefault="003221AD" w:rsidP="003221AD">
            <w:pPr>
              <w:keepNext/>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27.32%</w:t>
            </w:r>
          </w:p>
        </w:tc>
        <w:tc>
          <w:tcPr>
            <w:tcW w:w="1224" w:type="dxa"/>
            <w:tcBorders>
              <w:top w:val="nil"/>
              <w:left w:val="nil"/>
              <w:bottom w:val="single" w:sz="4" w:space="0" w:color="auto"/>
              <w:right w:val="single" w:sz="4" w:space="0" w:color="auto"/>
            </w:tcBorders>
            <w:shd w:val="clear" w:color="auto" w:fill="auto"/>
            <w:noWrap/>
            <w:vAlign w:val="bottom"/>
            <w:hideMark/>
          </w:tcPr>
          <w:p w14:paraId="35F3B4A8" w14:textId="77777777" w:rsidR="003221AD" w:rsidRPr="003221AD" w:rsidRDefault="003221AD" w:rsidP="003221AD">
            <w:pPr>
              <w:keepNext/>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22.42%</w:t>
            </w:r>
          </w:p>
        </w:tc>
        <w:tc>
          <w:tcPr>
            <w:tcW w:w="1224" w:type="dxa"/>
            <w:tcBorders>
              <w:top w:val="nil"/>
              <w:left w:val="nil"/>
              <w:bottom w:val="single" w:sz="4" w:space="0" w:color="auto"/>
              <w:right w:val="single" w:sz="8" w:space="0" w:color="auto"/>
            </w:tcBorders>
            <w:shd w:val="clear" w:color="auto" w:fill="auto"/>
            <w:noWrap/>
            <w:vAlign w:val="bottom"/>
            <w:hideMark/>
          </w:tcPr>
          <w:p w14:paraId="616667A6" w14:textId="77777777" w:rsidR="003221AD" w:rsidRPr="003221AD" w:rsidRDefault="003221AD" w:rsidP="003221AD">
            <w:pPr>
              <w:keepNext/>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4.90%</w:t>
            </w:r>
          </w:p>
        </w:tc>
      </w:tr>
      <w:tr w:rsidR="003221AD" w:rsidRPr="003221AD" w14:paraId="34E4D607" w14:textId="77777777" w:rsidTr="003221AD">
        <w:trPr>
          <w:trHeight w:val="406"/>
        </w:trPr>
        <w:tc>
          <w:tcPr>
            <w:tcW w:w="1106" w:type="dxa"/>
            <w:tcBorders>
              <w:top w:val="nil"/>
              <w:left w:val="single" w:sz="8" w:space="0" w:color="auto"/>
              <w:bottom w:val="single" w:sz="8" w:space="0" w:color="auto"/>
              <w:right w:val="single" w:sz="4" w:space="0" w:color="auto"/>
            </w:tcBorders>
            <w:shd w:val="clear" w:color="auto" w:fill="auto"/>
            <w:noWrap/>
            <w:vAlign w:val="bottom"/>
            <w:hideMark/>
          </w:tcPr>
          <w:p w14:paraId="7DB24FA9" w14:textId="77777777" w:rsidR="003221AD" w:rsidRPr="003221AD" w:rsidRDefault="003221AD" w:rsidP="003221AD">
            <w:pPr>
              <w:spacing w:after="0" w:line="240" w:lineRule="auto"/>
              <w:jc w:val="center"/>
              <w:rPr>
                <w:rFonts w:ascii="Calibri" w:eastAsia="Times New Roman" w:hAnsi="Calibri" w:cs="Calibri"/>
                <w:b/>
                <w:bCs/>
                <w:color w:val="000000"/>
              </w:rPr>
            </w:pPr>
            <w:r w:rsidRPr="003221AD">
              <w:rPr>
                <w:rFonts w:ascii="Calibri" w:eastAsia="Times New Roman" w:hAnsi="Calibri" w:cs="Calibri"/>
                <w:b/>
                <w:bCs/>
                <w:color w:val="000000"/>
              </w:rPr>
              <w:t>Anderson</w:t>
            </w:r>
          </w:p>
        </w:tc>
        <w:tc>
          <w:tcPr>
            <w:tcW w:w="1223" w:type="dxa"/>
            <w:tcBorders>
              <w:top w:val="nil"/>
              <w:left w:val="nil"/>
              <w:bottom w:val="single" w:sz="8" w:space="0" w:color="auto"/>
              <w:right w:val="single" w:sz="4" w:space="0" w:color="auto"/>
            </w:tcBorders>
            <w:shd w:val="clear" w:color="auto" w:fill="auto"/>
            <w:noWrap/>
            <w:vAlign w:val="bottom"/>
            <w:hideMark/>
          </w:tcPr>
          <w:p w14:paraId="3CA7113D" w14:textId="77777777" w:rsidR="003221AD" w:rsidRPr="003221AD" w:rsidRDefault="003221AD" w:rsidP="003221AD">
            <w:pPr>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13.22%</w:t>
            </w:r>
          </w:p>
        </w:tc>
        <w:tc>
          <w:tcPr>
            <w:tcW w:w="1224" w:type="dxa"/>
            <w:tcBorders>
              <w:top w:val="nil"/>
              <w:left w:val="nil"/>
              <w:bottom w:val="single" w:sz="8" w:space="0" w:color="auto"/>
              <w:right w:val="single" w:sz="4" w:space="0" w:color="auto"/>
            </w:tcBorders>
            <w:shd w:val="clear" w:color="auto" w:fill="auto"/>
            <w:noWrap/>
            <w:vAlign w:val="bottom"/>
            <w:hideMark/>
          </w:tcPr>
          <w:p w14:paraId="704D1AF6" w14:textId="77777777" w:rsidR="003221AD" w:rsidRPr="003221AD" w:rsidRDefault="003221AD" w:rsidP="003221AD">
            <w:pPr>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12.66%</w:t>
            </w:r>
          </w:p>
        </w:tc>
        <w:tc>
          <w:tcPr>
            <w:tcW w:w="1224" w:type="dxa"/>
            <w:tcBorders>
              <w:top w:val="nil"/>
              <w:left w:val="nil"/>
              <w:bottom w:val="single" w:sz="8" w:space="0" w:color="auto"/>
              <w:right w:val="single" w:sz="4" w:space="0" w:color="auto"/>
            </w:tcBorders>
            <w:shd w:val="clear" w:color="auto" w:fill="auto"/>
            <w:noWrap/>
            <w:vAlign w:val="bottom"/>
            <w:hideMark/>
          </w:tcPr>
          <w:p w14:paraId="59104C59" w14:textId="77777777" w:rsidR="003221AD" w:rsidRPr="003221AD" w:rsidRDefault="003221AD" w:rsidP="003221AD">
            <w:pPr>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0.56%</w:t>
            </w:r>
          </w:p>
        </w:tc>
        <w:tc>
          <w:tcPr>
            <w:tcW w:w="1223" w:type="dxa"/>
            <w:tcBorders>
              <w:top w:val="nil"/>
              <w:left w:val="nil"/>
              <w:bottom w:val="single" w:sz="8" w:space="0" w:color="auto"/>
              <w:right w:val="single" w:sz="4" w:space="0" w:color="auto"/>
            </w:tcBorders>
            <w:shd w:val="clear" w:color="auto" w:fill="auto"/>
            <w:noWrap/>
            <w:vAlign w:val="bottom"/>
            <w:hideMark/>
          </w:tcPr>
          <w:p w14:paraId="614DCB45" w14:textId="77777777" w:rsidR="003221AD" w:rsidRPr="003221AD" w:rsidRDefault="003221AD" w:rsidP="003221AD">
            <w:pPr>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23.84%</w:t>
            </w:r>
          </w:p>
        </w:tc>
        <w:tc>
          <w:tcPr>
            <w:tcW w:w="1224" w:type="dxa"/>
            <w:tcBorders>
              <w:top w:val="nil"/>
              <w:left w:val="nil"/>
              <w:bottom w:val="single" w:sz="8" w:space="0" w:color="auto"/>
              <w:right w:val="single" w:sz="4" w:space="0" w:color="auto"/>
            </w:tcBorders>
            <w:shd w:val="clear" w:color="auto" w:fill="auto"/>
            <w:noWrap/>
            <w:vAlign w:val="bottom"/>
            <w:hideMark/>
          </w:tcPr>
          <w:p w14:paraId="007C0736" w14:textId="77777777" w:rsidR="003221AD" w:rsidRPr="003221AD" w:rsidRDefault="003221AD" w:rsidP="003221AD">
            <w:pPr>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19.30%</w:t>
            </w:r>
          </w:p>
        </w:tc>
        <w:tc>
          <w:tcPr>
            <w:tcW w:w="1224" w:type="dxa"/>
            <w:tcBorders>
              <w:top w:val="nil"/>
              <w:left w:val="nil"/>
              <w:bottom w:val="single" w:sz="8" w:space="0" w:color="auto"/>
              <w:right w:val="single" w:sz="8" w:space="0" w:color="auto"/>
            </w:tcBorders>
            <w:shd w:val="clear" w:color="auto" w:fill="auto"/>
            <w:noWrap/>
            <w:vAlign w:val="bottom"/>
            <w:hideMark/>
          </w:tcPr>
          <w:p w14:paraId="312D60BC" w14:textId="77777777" w:rsidR="003221AD" w:rsidRPr="003221AD" w:rsidRDefault="003221AD" w:rsidP="003221AD">
            <w:pPr>
              <w:spacing w:after="0" w:line="240" w:lineRule="auto"/>
              <w:jc w:val="center"/>
              <w:rPr>
                <w:rFonts w:ascii="Calibri" w:eastAsia="Times New Roman" w:hAnsi="Calibri" w:cs="Calibri"/>
                <w:color w:val="000000"/>
              </w:rPr>
            </w:pPr>
            <w:r w:rsidRPr="003221AD">
              <w:rPr>
                <w:rFonts w:ascii="Calibri" w:eastAsia="Times New Roman" w:hAnsi="Calibri" w:cs="Calibri"/>
                <w:color w:val="000000"/>
              </w:rPr>
              <w:t>4.54%</w:t>
            </w:r>
          </w:p>
        </w:tc>
      </w:tr>
    </w:tbl>
    <w:p w14:paraId="0C9A8B0C" w14:textId="77777777" w:rsidR="003221AD" w:rsidRDefault="003221AD" w:rsidP="003221AD">
      <w:pPr>
        <w:spacing w:after="0"/>
      </w:pPr>
    </w:p>
    <w:p w14:paraId="494EBA24" w14:textId="15D0FC3C" w:rsidR="00083B9F" w:rsidRDefault="00872BF3" w:rsidP="00083B9F">
      <w:r w:rsidRPr="00A16307">
        <w:t>For context, exchange volumes</w:t>
      </w:r>
      <w:r w:rsidR="003B0473" w:rsidRPr="00A16307">
        <w:t xml:space="preserve">, by water year type, </w:t>
      </w:r>
      <w:r w:rsidRPr="00A16307">
        <w:t>based on th</w:t>
      </w:r>
      <w:r w:rsidR="003B0473" w:rsidRPr="00A16307">
        <w:t xml:space="preserve">is </w:t>
      </w:r>
      <w:r w:rsidR="00EB29C9">
        <w:t>analysis</w:t>
      </w:r>
      <w:r w:rsidR="007D7645">
        <w:t xml:space="preserve"> (ROC on LTO)</w:t>
      </w:r>
      <w:r w:rsidR="003B0473" w:rsidRPr="00A16307">
        <w:t>, the</w:t>
      </w:r>
      <w:r w:rsidRPr="00A16307">
        <w:t xml:space="preserve"> Authority’s </w:t>
      </w:r>
      <w:r w:rsidR="003B0473" w:rsidRPr="00A16307">
        <w:t xml:space="preserve">initial concept </w:t>
      </w:r>
      <w:r w:rsidRPr="00A16307">
        <w:t xml:space="preserve">and Reclamation’s initial concept are </w:t>
      </w:r>
      <w:r w:rsidR="003B0473" w:rsidRPr="00A16307">
        <w:t xml:space="preserve">provided in Table </w:t>
      </w:r>
      <w:r w:rsidR="00587382">
        <w:t>6</w:t>
      </w:r>
      <w:r w:rsidRPr="00A16307">
        <w:t>.</w:t>
      </w:r>
      <w:r w:rsidR="00E63C34" w:rsidRPr="003B0473">
        <w:t xml:space="preserve"> Please note that values </w:t>
      </w:r>
      <w:r w:rsidR="003B0473" w:rsidRPr="003B0473">
        <w:t xml:space="preserve">in this table </w:t>
      </w:r>
      <w:r w:rsidR="00E63C34" w:rsidRPr="003B0473">
        <w:t xml:space="preserve">are averages across all years </w:t>
      </w:r>
      <w:r w:rsidR="003B0473" w:rsidRPr="003B0473">
        <w:t>of</w:t>
      </w:r>
      <w:r w:rsidR="00AD430B" w:rsidRPr="003B0473">
        <w:t xml:space="preserve"> a given water year type.</w:t>
      </w:r>
      <w:r w:rsidR="00E63C34" w:rsidRPr="003B0473">
        <w:t xml:space="preserve"> </w:t>
      </w:r>
      <w:r w:rsidR="00024850">
        <w:t>Additionally, Figure 2 presents an exceedance plot of annual exchange volumes for the initial concepts. Magnitudes of maximum volume from this analysis and the Authority’s initial concept</w:t>
      </w:r>
      <w:r w:rsidR="00587382">
        <w:t xml:space="preserve"> (Initial Concept – 1 pipe Delevan Pipeline)</w:t>
      </w:r>
      <w:r w:rsidR="007C4CCB">
        <w:t xml:space="preserve"> are similar</w:t>
      </w:r>
      <w:r w:rsidR="00587382">
        <w:t xml:space="preserve">. </w:t>
      </w:r>
      <w:r w:rsidR="00644B84">
        <w:t>F</w:t>
      </w:r>
      <w:r w:rsidR="00587382">
        <w:t xml:space="preserve">requency of occurrence from this analysis is similar to the frequency of </w:t>
      </w:r>
      <w:r w:rsidR="00644B84">
        <w:t xml:space="preserve">occurrence of </w:t>
      </w:r>
      <w:r w:rsidR="00587382">
        <w:t>Reclamation’s initial concept (USBR Proposed – 2 pipe Delevan Pipeline).</w:t>
      </w:r>
      <w:r w:rsidR="007462F3">
        <w:t xml:space="preserve"> Therefore, annual average exchange</w:t>
      </w:r>
      <w:r w:rsidR="00F5351C">
        <w:t xml:space="preserve"> volume</w:t>
      </w:r>
      <w:r w:rsidR="00D23A53">
        <w:t xml:space="preserve"> of ROC on LTO criteria</w:t>
      </w:r>
      <w:r w:rsidR="00F5351C">
        <w:t xml:space="preserve"> is between </w:t>
      </w:r>
      <w:r w:rsidR="00A12143">
        <w:t xml:space="preserve">the </w:t>
      </w:r>
      <w:r w:rsidR="00D23A53">
        <w:t xml:space="preserve">annual average exchange volumes of the Authority’s </w:t>
      </w:r>
      <w:r w:rsidR="00A12143">
        <w:t>initial concept and Reclamation’s initial concept.</w:t>
      </w:r>
    </w:p>
    <w:p w14:paraId="26D12D38" w14:textId="24318FEE" w:rsidR="00872BF3" w:rsidRPr="003B0473" w:rsidRDefault="00872BF3" w:rsidP="00872BF3">
      <w:pPr>
        <w:spacing w:after="0"/>
      </w:pPr>
      <w:r>
        <w:t xml:space="preserve">Table </w:t>
      </w:r>
      <w:r w:rsidR="00587382">
        <w:t>6</w:t>
      </w:r>
      <w:r w:rsidRPr="003B0473">
        <w:t>: Exchange</w:t>
      </w:r>
      <w:r w:rsidR="003B0473">
        <w:t xml:space="preserve"> Volumes for Authority’s Initial Concept, Reclamation’s Initial Concept and ROC on LTO</w:t>
      </w:r>
    </w:p>
    <w:tbl>
      <w:tblPr>
        <w:tblStyle w:val="TableGrid"/>
        <w:tblW w:w="0" w:type="auto"/>
        <w:tblLook w:val="04A0" w:firstRow="1" w:lastRow="0" w:firstColumn="1" w:lastColumn="0" w:noHBand="0" w:noVBand="1"/>
      </w:tblPr>
      <w:tblGrid>
        <w:gridCol w:w="1800"/>
        <w:gridCol w:w="1668"/>
        <w:gridCol w:w="1989"/>
        <w:gridCol w:w="2074"/>
        <w:gridCol w:w="1819"/>
      </w:tblGrid>
      <w:tr w:rsidR="000A4E8F" w:rsidRPr="003B0473" w14:paraId="22ED35E9" w14:textId="77777777" w:rsidTr="000A4E8F">
        <w:tc>
          <w:tcPr>
            <w:tcW w:w="1800" w:type="dxa"/>
            <w:vAlign w:val="bottom"/>
          </w:tcPr>
          <w:p w14:paraId="41C07B89" w14:textId="77777777" w:rsidR="000A4E8F" w:rsidRPr="003B0473" w:rsidRDefault="000A4E8F" w:rsidP="00AA1D81">
            <w:pPr>
              <w:jc w:val="center"/>
              <w:rPr>
                <w:rFonts w:ascii="Calibri" w:hAnsi="Calibri" w:cs="Calibri"/>
                <w:b/>
                <w:bCs/>
              </w:rPr>
            </w:pPr>
            <w:r w:rsidRPr="003B0473">
              <w:rPr>
                <w:rFonts w:ascii="Calibri" w:hAnsi="Calibri" w:cs="Calibri"/>
                <w:b/>
                <w:bCs/>
              </w:rPr>
              <w:t>WYT</w:t>
            </w:r>
          </w:p>
        </w:tc>
        <w:tc>
          <w:tcPr>
            <w:tcW w:w="1668" w:type="dxa"/>
          </w:tcPr>
          <w:p w14:paraId="3BCAABC6" w14:textId="77777777" w:rsidR="000A4E8F" w:rsidRPr="00A16307" w:rsidRDefault="000A4E8F" w:rsidP="00AA1D81">
            <w:pPr>
              <w:jc w:val="center"/>
              <w:rPr>
                <w:rFonts w:ascii="Calibri" w:hAnsi="Calibri" w:cs="Calibri"/>
                <w:b/>
                <w:bCs/>
              </w:rPr>
            </w:pPr>
          </w:p>
        </w:tc>
        <w:tc>
          <w:tcPr>
            <w:tcW w:w="1989" w:type="dxa"/>
            <w:vAlign w:val="bottom"/>
          </w:tcPr>
          <w:p w14:paraId="10500778" w14:textId="519AD42D" w:rsidR="000A4E8F" w:rsidRPr="00A16307" w:rsidRDefault="000A4E8F" w:rsidP="00AA1D81">
            <w:pPr>
              <w:jc w:val="center"/>
              <w:rPr>
                <w:rFonts w:ascii="Calibri" w:hAnsi="Calibri" w:cs="Calibri"/>
                <w:b/>
                <w:bCs/>
              </w:rPr>
            </w:pPr>
            <w:r w:rsidRPr="00A16307">
              <w:rPr>
                <w:rFonts w:ascii="Calibri" w:hAnsi="Calibri" w:cs="Calibri"/>
                <w:b/>
                <w:bCs/>
              </w:rPr>
              <w:t>Authority’s Initial Concept (TAF)</w:t>
            </w:r>
          </w:p>
        </w:tc>
        <w:tc>
          <w:tcPr>
            <w:tcW w:w="2074" w:type="dxa"/>
            <w:vAlign w:val="bottom"/>
          </w:tcPr>
          <w:p w14:paraId="693B521F" w14:textId="6BB7BE12" w:rsidR="000A4E8F" w:rsidRPr="00A16307" w:rsidRDefault="000A4E8F" w:rsidP="00AA1D81">
            <w:pPr>
              <w:jc w:val="center"/>
              <w:rPr>
                <w:rFonts w:ascii="Calibri" w:hAnsi="Calibri" w:cs="Calibri"/>
                <w:b/>
                <w:bCs/>
              </w:rPr>
            </w:pPr>
            <w:r w:rsidRPr="00A16307">
              <w:rPr>
                <w:rFonts w:ascii="Calibri" w:hAnsi="Calibri" w:cs="Calibri"/>
                <w:b/>
                <w:bCs/>
              </w:rPr>
              <w:t xml:space="preserve">Reclamation’s </w:t>
            </w:r>
            <w:r>
              <w:rPr>
                <w:rFonts w:ascii="Calibri" w:hAnsi="Calibri" w:cs="Calibri"/>
                <w:b/>
                <w:bCs/>
              </w:rPr>
              <w:t xml:space="preserve">Initial </w:t>
            </w:r>
            <w:r w:rsidRPr="00A16307">
              <w:rPr>
                <w:rFonts w:ascii="Calibri" w:hAnsi="Calibri" w:cs="Calibri"/>
                <w:b/>
                <w:bCs/>
              </w:rPr>
              <w:t>Concept (TAF)</w:t>
            </w:r>
          </w:p>
        </w:tc>
        <w:tc>
          <w:tcPr>
            <w:tcW w:w="1819" w:type="dxa"/>
            <w:vAlign w:val="bottom"/>
          </w:tcPr>
          <w:p w14:paraId="23CA4CB3" w14:textId="77777777" w:rsidR="000A4E8F" w:rsidRPr="003B0473" w:rsidRDefault="000A4E8F" w:rsidP="00AA1D81">
            <w:pPr>
              <w:jc w:val="center"/>
              <w:rPr>
                <w:rFonts w:ascii="Calibri" w:hAnsi="Calibri" w:cs="Calibri"/>
                <w:b/>
                <w:bCs/>
              </w:rPr>
            </w:pPr>
            <w:r w:rsidRPr="003B0473">
              <w:rPr>
                <w:rFonts w:ascii="Calibri" w:hAnsi="Calibri" w:cs="Calibri"/>
                <w:b/>
                <w:bCs/>
              </w:rPr>
              <w:t>ROC on LTO (TAF)</w:t>
            </w:r>
          </w:p>
        </w:tc>
      </w:tr>
      <w:tr w:rsidR="000A4E8F" w:rsidRPr="003B0473" w14:paraId="4E188F59" w14:textId="77777777" w:rsidTr="000A4E8F">
        <w:tc>
          <w:tcPr>
            <w:tcW w:w="1800" w:type="dxa"/>
          </w:tcPr>
          <w:p w14:paraId="0139FF0B" w14:textId="77777777" w:rsidR="000A4E8F" w:rsidRPr="003B0473" w:rsidRDefault="000A4E8F" w:rsidP="00AA1D81">
            <w:pPr>
              <w:jc w:val="center"/>
              <w:rPr>
                <w:rFonts w:ascii="Calibri" w:hAnsi="Calibri" w:cs="Calibri"/>
              </w:rPr>
            </w:pPr>
            <w:r w:rsidRPr="003B0473">
              <w:rPr>
                <w:rFonts w:ascii="Calibri" w:hAnsi="Calibri" w:cs="Calibri"/>
              </w:rPr>
              <w:t>W</w:t>
            </w:r>
          </w:p>
        </w:tc>
        <w:tc>
          <w:tcPr>
            <w:tcW w:w="1668" w:type="dxa"/>
          </w:tcPr>
          <w:p w14:paraId="5CF4C7CC" w14:textId="77777777" w:rsidR="000A4E8F" w:rsidRPr="00A16307" w:rsidRDefault="000A4E8F" w:rsidP="00AA1D81">
            <w:pPr>
              <w:jc w:val="center"/>
              <w:rPr>
                <w:rFonts w:ascii="Calibri" w:hAnsi="Calibri" w:cs="Calibri"/>
                <w:color w:val="808080" w:themeColor="background1" w:themeShade="80"/>
              </w:rPr>
            </w:pPr>
          </w:p>
        </w:tc>
        <w:tc>
          <w:tcPr>
            <w:tcW w:w="1989" w:type="dxa"/>
          </w:tcPr>
          <w:p w14:paraId="28FA02D8" w14:textId="6DFEA45F" w:rsidR="000A4E8F" w:rsidRPr="00A16307" w:rsidRDefault="000A4E8F" w:rsidP="00AA1D81">
            <w:pPr>
              <w:jc w:val="center"/>
              <w:rPr>
                <w:rFonts w:ascii="Calibri" w:hAnsi="Calibri" w:cs="Calibri"/>
              </w:rPr>
            </w:pPr>
            <w:r w:rsidRPr="00A16307">
              <w:rPr>
                <w:rFonts w:ascii="Calibri" w:hAnsi="Calibri" w:cs="Calibri"/>
                <w:color w:val="808080" w:themeColor="background1" w:themeShade="80"/>
              </w:rPr>
              <w:t>n/a</w:t>
            </w:r>
          </w:p>
        </w:tc>
        <w:tc>
          <w:tcPr>
            <w:tcW w:w="2074" w:type="dxa"/>
          </w:tcPr>
          <w:p w14:paraId="1A4BD4A4" w14:textId="77777777" w:rsidR="000A4E8F" w:rsidRPr="00A16307" w:rsidRDefault="000A4E8F" w:rsidP="00AA1D81">
            <w:pPr>
              <w:jc w:val="center"/>
              <w:rPr>
                <w:rFonts w:ascii="Calibri" w:hAnsi="Calibri" w:cs="Calibri"/>
              </w:rPr>
            </w:pPr>
            <w:r w:rsidRPr="00A16307">
              <w:rPr>
                <w:rFonts w:ascii="Calibri" w:hAnsi="Calibri" w:cs="Calibri"/>
                <w:color w:val="808080" w:themeColor="background1" w:themeShade="80"/>
              </w:rPr>
              <w:t>n/a</w:t>
            </w:r>
          </w:p>
        </w:tc>
        <w:tc>
          <w:tcPr>
            <w:tcW w:w="1819" w:type="dxa"/>
          </w:tcPr>
          <w:p w14:paraId="6A295115" w14:textId="77777777" w:rsidR="000A4E8F" w:rsidRPr="003B0473" w:rsidRDefault="000A4E8F" w:rsidP="00AA1D81">
            <w:pPr>
              <w:jc w:val="center"/>
              <w:rPr>
                <w:rFonts w:ascii="Calibri" w:hAnsi="Calibri" w:cs="Calibri"/>
              </w:rPr>
            </w:pPr>
            <w:r w:rsidRPr="003B0473">
              <w:rPr>
                <w:rFonts w:ascii="Calibri" w:hAnsi="Calibri" w:cs="Calibri"/>
                <w:color w:val="808080" w:themeColor="background1" w:themeShade="80"/>
              </w:rPr>
              <w:t>n/a</w:t>
            </w:r>
          </w:p>
        </w:tc>
      </w:tr>
      <w:tr w:rsidR="000A4E8F" w:rsidRPr="003B0473" w14:paraId="747394CE" w14:textId="77777777" w:rsidTr="000A4E8F">
        <w:tc>
          <w:tcPr>
            <w:tcW w:w="1800" w:type="dxa"/>
          </w:tcPr>
          <w:p w14:paraId="1F401D1B" w14:textId="77777777" w:rsidR="000A4E8F" w:rsidRPr="003B0473" w:rsidRDefault="000A4E8F" w:rsidP="00AA1D81">
            <w:pPr>
              <w:jc w:val="center"/>
              <w:rPr>
                <w:rFonts w:ascii="Calibri" w:hAnsi="Calibri" w:cs="Calibri"/>
              </w:rPr>
            </w:pPr>
            <w:r w:rsidRPr="003B0473">
              <w:rPr>
                <w:rFonts w:ascii="Calibri" w:hAnsi="Calibri" w:cs="Calibri"/>
              </w:rPr>
              <w:t>AN</w:t>
            </w:r>
          </w:p>
        </w:tc>
        <w:tc>
          <w:tcPr>
            <w:tcW w:w="1668" w:type="dxa"/>
          </w:tcPr>
          <w:p w14:paraId="09C83831" w14:textId="77777777" w:rsidR="000A4E8F" w:rsidRPr="00A16307" w:rsidRDefault="000A4E8F" w:rsidP="00AA1D81">
            <w:pPr>
              <w:jc w:val="center"/>
              <w:rPr>
                <w:rFonts w:ascii="Calibri" w:hAnsi="Calibri" w:cs="Calibri"/>
                <w:color w:val="808080" w:themeColor="background1" w:themeShade="80"/>
              </w:rPr>
            </w:pPr>
          </w:p>
        </w:tc>
        <w:tc>
          <w:tcPr>
            <w:tcW w:w="1989" w:type="dxa"/>
          </w:tcPr>
          <w:p w14:paraId="79A94B21" w14:textId="7C5FFF0B" w:rsidR="000A4E8F" w:rsidRPr="00A16307" w:rsidRDefault="000A4E8F" w:rsidP="00AA1D81">
            <w:pPr>
              <w:jc w:val="center"/>
              <w:rPr>
                <w:rFonts w:ascii="Calibri" w:hAnsi="Calibri" w:cs="Calibri"/>
              </w:rPr>
            </w:pPr>
            <w:r w:rsidRPr="00A16307">
              <w:rPr>
                <w:rFonts w:ascii="Calibri" w:hAnsi="Calibri" w:cs="Calibri"/>
                <w:color w:val="808080" w:themeColor="background1" w:themeShade="80"/>
              </w:rPr>
              <w:t>n/a</w:t>
            </w:r>
          </w:p>
        </w:tc>
        <w:tc>
          <w:tcPr>
            <w:tcW w:w="2074" w:type="dxa"/>
          </w:tcPr>
          <w:p w14:paraId="6EB42546" w14:textId="77777777" w:rsidR="000A4E8F" w:rsidRPr="00A16307" w:rsidRDefault="000A4E8F" w:rsidP="00AA1D81">
            <w:pPr>
              <w:jc w:val="center"/>
              <w:rPr>
                <w:rFonts w:ascii="Calibri" w:hAnsi="Calibri" w:cs="Calibri"/>
              </w:rPr>
            </w:pPr>
            <w:r w:rsidRPr="00A16307">
              <w:rPr>
                <w:rFonts w:ascii="Calibri" w:hAnsi="Calibri" w:cs="Calibri"/>
                <w:color w:val="808080" w:themeColor="background1" w:themeShade="80"/>
              </w:rPr>
              <w:t>n/a</w:t>
            </w:r>
          </w:p>
        </w:tc>
        <w:tc>
          <w:tcPr>
            <w:tcW w:w="1819" w:type="dxa"/>
          </w:tcPr>
          <w:p w14:paraId="1006EB0A" w14:textId="77777777" w:rsidR="000A4E8F" w:rsidRPr="003B0473" w:rsidRDefault="000A4E8F" w:rsidP="00AA1D81">
            <w:pPr>
              <w:jc w:val="center"/>
              <w:rPr>
                <w:rFonts w:ascii="Calibri" w:hAnsi="Calibri" w:cs="Calibri"/>
              </w:rPr>
            </w:pPr>
            <w:r w:rsidRPr="003B0473">
              <w:rPr>
                <w:rFonts w:ascii="Calibri" w:hAnsi="Calibri" w:cs="Calibri"/>
                <w:color w:val="808080" w:themeColor="background1" w:themeShade="80"/>
              </w:rPr>
              <w:t>n/a</w:t>
            </w:r>
          </w:p>
        </w:tc>
      </w:tr>
      <w:tr w:rsidR="000A4E8F" w:rsidRPr="003B0473" w14:paraId="2BA8D1F7" w14:textId="77777777" w:rsidTr="000A4E8F">
        <w:tc>
          <w:tcPr>
            <w:tcW w:w="1800" w:type="dxa"/>
          </w:tcPr>
          <w:p w14:paraId="11208931" w14:textId="77777777" w:rsidR="000A4E8F" w:rsidRPr="003B0473" w:rsidRDefault="000A4E8F" w:rsidP="00AA1D81">
            <w:pPr>
              <w:jc w:val="center"/>
              <w:rPr>
                <w:rFonts w:ascii="Calibri" w:hAnsi="Calibri" w:cs="Calibri"/>
              </w:rPr>
            </w:pPr>
            <w:r w:rsidRPr="003B0473">
              <w:rPr>
                <w:rFonts w:ascii="Calibri" w:hAnsi="Calibri" w:cs="Calibri"/>
              </w:rPr>
              <w:t>BN</w:t>
            </w:r>
          </w:p>
        </w:tc>
        <w:tc>
          <w:tcPr>
            <w:tcW w:w="1668" w:type="dxa"/>
          </w:tcPr>
          <w:p w14:paraId="598C9D92" w14:textId="77777777" w:rsidR="000A4E8F" w:rsidRPr="00A16307" w:rsidRDefault="000A4E8F" w:rsidP="00AA1D81">
            <w:pPr>
              <w:jc w:val="center"/>
              <w:rPr>
                <w:rFonts w:ascii="Calibri" w:hAnsi="Calibri" w:cs="Calibri"/>
                <w:color w:val="808080" w:themeColor="background1" w:themeShade="80"/>
              </w:rPr>
            </w:pPr>
          </w:p>
        </w:tc>
        <w:tc>
          <w:tcPr>
            <w:tcW w:w="1989" w:type="dxa"/>
          </w:tcPr>
          <w:p w14:paraId="283BD513" w14:textId="4CA46391" w:rsidR="000A4E8F" w:rsidRPr="00A16307" w:rsidRDefault="000A4E8F" w:rsidP="00AA1D81">
            <w:pPr>
              <w:jc w:val="center"/>
              <w:rPr>
                <w:rFonts w:ascii="Calibri" w:hAnsi="Calibri" w:cs="Calibri"/>
              </w:rPr>
            </w:pPr>
            <w:r w:rsidRPr="00A16307">
              <w:rPr>
                <w:rFonts w:ascii="Calibri" w:hAnsi="Calibri" w:cs="Calibri"/>
                <w:color w:val="808080" w:themeColor="background1" w:themeShade="80"/>
              </w:rPr>
              <w:t>n/a</w:t>
            </w:r>
          </w:p>
        </w:tc>
        <w:tc>
          <w:tcPr>
            <w:tcW w:w="2074" w:type="dxa"/>
          </w:tcPr>
          <w:p w14:paraId="1A69FD31" w14:textId="77777777" w:rsidR="000A4E8F" w:rsidRPr="00A16307" w:rsidRDefault="000A4E8F" w:rsidP="00AA1D81">
            <w:pPr>
              <w:jc w:val="center"/>
              <w:rPr>
                <w:rFonts w:ascii="Calibri" w:hAnsi="Calibri" w:cs="Calibri"/>
              </w:rPr>
            </w:pPr>
            <w:r w:rsidRPr="00A16307">
              <w:rPr>
                <w:rFonts w:ascii="Calibri" w:hAnsi="Calibri" w:cs="Calibri"/>
                <w:color w:val="808080" w:themeColor="background1" w:themeShade="80"/>
              </w:rPr>
              <w:t>n/a</w:t>
            </w:r>
          </w:p>
        </w:tc>
        <w:tc>
          <w:tcPr>
            <w:tcW w:w="1819" w:type="dxa"/>
          </w:tcPr>
          <w:p w14:paraId="6F22F89F" w14:textId="77777777" w:rsidR="000A4E8F" w:rsidRPr="003B0473" w:rsidRDefault="000A4E8F" w:rsidP="00AA1D81">
            <w:pPr>
              <w:jc w:val="center"/>
              <w:rPr>
                <w:rFonts w:ascii="Calibri" w:hAnsi="Calibri" w:cs="Calibri"/>
              </w:rPr>
            </w:pPr>
            <w:r w:rsidRPr="003B0473">
              <w:rPr>
                <w:rFonts w:ascii="Calibri" w:hAnsi="Calibri" w:cs="Calibri"/>
                <w:color w:val="808080" w:themeColor="background1" w:themeShade="80"/>
              </w:rPr>
              <w:t>n/a</w:t>
            </w:r>
          </w:p>
        </w:tc>
      </w:tr>
      <w:tr w:rsidR="000A4E8F" w:rsidRPr="003B0473" w14:paraId="4C4D1C23" w14:textId="77777777" w:rsidTr="000A4E8F">
        <w:tc>
          <w:tcPr>
            <w:tcW w:w="1800" w:type="dxa"/>
          </w:tcPr>
          <w:p w14:paraId="068BC148" w14:textId="77777777" w:rsidR="000A4E8F" w:rsidRPr="003B0473" w:rsidRDefault="000A4E8F" w:rsidP="00AA1D81">
            <w:pPr>
              <w:jc w:val="center"/>
              <w:rPr>
                <w:rFonts w:ascii="Calibri" w:hAnsi="Calibri" w:cs="Calibri"/>
              </w:rPr>
            </w:pPr>
            <w:r w:rsidRPr="003B0473">
              <w:rPr>
                <w:rFonts w:ascii="Calibri" w:hAnsi="Calibri" w:cs="Calibri"/>
              </w:rPr>
              <w:t>D</w:t>
            </w:r>
          </w:p>
        </w:tc>
        <w:tc>
          <w:tcPr>
            <w:tcW w:w="1668" w:type="dxa"/>
          </w:tcPr>
          <w:p w14:paraId="181F2866" w14:textId="77777777" w:rsidR="000A4E8F" w:rsidRPr="00A16307" w:rsidRDefault="000A4E8F" w:rsidP="00AA1D81">
            <w:pPr>
              <w:jc w:val="center"/>
              <w:rPr>
                <w:rFonts w:ascii="Calibri" w:hAnsi="Calibri" w:cs="Calibri"/>
              </w:rPr>
            </w:pPr>
          </w:p>
        </w:tc>
        <w:tc>
          <w:tcPr>
            <w:tcW w:w="1989" w:type="dxa"/>
          </w:tcPr>
          <w:p w14:paraId="3A82A4BF" w14:textId="2B8E960D" w:rsidR="000A4E8F" w:rsidRPr="00A16307" w:rsidRDefault="000A4E8F" w:rsidP="00AA1D81">
            <w:pPr>
              <w:jc w:val="center"/>
              <w:rPr>
                <w:rFonts w:ascii="Calibri" w:hAnsi="Calibri" w:cs="Calibri"/>
              </w:rPr>
            </w:pPr>
            <w:r w:rsidRPr="00A16307">
              <w:rPr>
                <w:rFonts w:ascii="Calibri" w:hAnsi="Calibri" w:cs="Calibri"/>
              </w:rPr>
              <w:t>141</w:t>
            </w:r>
          </w:p>
        </w:tc>
        <w:tc>
          <w:tcPr>
            <w:tcW w:w="2074" w:type="dxa"/>
          </w:tcPr>
          <w:p w14:paraId="40F71911" w14:textId="77777777" w:rsidR="000A4E8F" w:rsidRPr="00A16307" w:rsidRDefault="000A4E8F" w:rsidP="00AA1D81">
            <w:pPr>
              <w:jc w:val="center"/>
              <w:rPr>
                <w:rFonts w:ascii="Calibri" w:hAnsi="Calibri" w:cs="Calibri"/>
              </w:rPr>
            </w:pPr>
            <w:r w:rsidRPr="00A16307">
              <w:rPr>
                <w:rFonts w:ascii="Calibri" w:hAnsi="Calibri" w:cs="Calibri"/>
              </w:rPr>
              <w:t>43</w:t>
            </w:r>
          </w:p>
        </w:tc>
        <w:tc>
          <w:tcPr>
            <w:tcW w:w="1819" w:type="dxa"/>
          </w:tcPr>
          <w:p w14:paraId="6289674F" w14:textId="77777777" w:rsidR="000A4E8F" w:rsidRPr="003B0473" w:rsidRDefault="000A4E8F" w:rsidP="00AA1D81">
            <w:pPr>
              <w:jc w:val="center"/>
              <w:rPr>
                <w:rFonts w:ascii="Calibri" w:hAnsi="Calibri" w:cs="Calibri"/>
              </w:rPr>
            </w:pPr>
            <w:r w:rsidRPr="003B0473">
              <w:rPr>
                <w:rFonts w:ascii="Calibri" w:hAnsi="Calibri" w:cs="Calibri"/>
              </w:rPr>
              <w:t>62</w:t>
            </w:r>
          </w:p>
        </w:tc>
      </w:tr>
      <w:tr w:rsidR="000A4E8F" w14:paraId="25F5E304" w14:textId="77777777" w:rsidTr="000A4E8F">
        <w:tc>
          <w:tcPr>
            <w:tcW w:w="1800" w:type="dxa"/>
          </w:tcPr>
          <w:p w14:paraId="453D4DC5" w14:textId="77777777" w:rsidR="000A4E8F" w:rsidRPr="003B0473" w:rsidRDefault="000A4E8F" w:rsidP="00AA1D81">
            <w:pPr>
              <w:jc w:val="center"/>
              <w:rPr>
                <w:rFonts w:ascii="Calibri" w:hAnsi="Calibri" w:cs="Calibri"/>
              </w:rPr>
            </w:pPr>
            <w:r w:rsidRPr="003B0473">
              <w:rPr>
                <w:rFonts w:ascii="Calibri" w:hAnsi="Calibri" w:cs="Calibri"/>
              </w:rPr>
              <w:t>C</w:t>
            </w:r>
          </w:p>
        </w:tc>
        <w:tc>
          <w:tcPr>
            <w:tcW w:w="1668" w:type="dxa"/>
          </w:tcPr>
          <w:p w14:paraId="34635DDF" w14:textId="77777777" w:rsidR="000A4E8F" w:rsidRPr="00A16307" w:rsidRDefault="000A4E8F" w:rsidP="00AA1D81">
            <w:pPr>
              <w:jc w:val="center"/>
              <w:rPr>
                <w:rFonts w:ascii="Calibri" w:hAnsi="Calibri" w:cs="Calibri"/>
              </w:rPr>
            </w:pPr>
          </w:p>
        </w:tc>
        <w:tc>
          <w:tcPr>
            <w:tcW w:w="1989" w:type="dxa"/>
          </w:tcPr>
          <w:p w14:paraId="5BDD5D59" w14:textId="15CB5407" w:rsidR="000A4E8F" w:rsidRPr="00A16307" w:rsidRDefault="000A4E8F" w:rsidP="00AA1D81">
            <w:pPr>
              <w:jc w:val="center"/>
              <w:rPr>
                <w:rFonts w:ascii="Calibri" w:hAnsi="Calibri" w:cs="Calibri"/>
              </w:rPr>
            </w:pPr>
            <w:r w:rsidRPr="00A16307">
              <w:rPr>
                <w:rFonts w:ascii="Calibri" w:hAnsi="Calibri" w:cs="Calibri"/>
              </w:rPr>
              <w:t>114</w:t>
            </w:r>
          </w:p>
        </w:tc>
        <w:tc>
          <w:tcPr>
            <w:tcW w:w="2074" w:type="dxa"/>
          </w:tcPr>
          <w:p w14:paraId="565316EB" w14:textId="77777777" w:rsidR="000A4E8F" w:rsidRPr="00A16307" w:rsidRDefault="000A4E8F" w:rsidP="00AA1D81">
            <w:pPr>
              <w:jc w:val="center"/>
              <w:rPr>
                <w:rFonts w:ascii="Calibri" w:hAnsi="Calibri" w:cs="Calibri"/>
              </w:rPr>
            </w:pPr>
            <w:r w:rsidRPr="00A16307">
              <w:rPr>
                <w:rFonts w:ascii="Calibri" w:hAnsi="Calibri" w:cs="Calibri"/>
              </w:rPr>
              <w:t>56</w:t>
            </w:r>
          </w:p>
        </w:tc>
        <w:tc>
          <w:tcPr>
            <w:tcW w:w="1819" w:type="dxa"/>
          </w:tcPr>
          <w:p w14:paraId="4CA30B50" w14:textId="77777777" w:rsidR="000A4E8F" w:rsidRPr="00AA1D81" w:rsidRDefault="000A4E8F" w:rsidP="00AA1D81">
            <w:pPr>
              <w:jc w:val="center"/>
              <w:rPr>
                <w:rFonts w:ascii="Calibri" w:hAnsi="Calibri" w:cs="Calibri"/>
              </w:rPr>
            </w:pPr>
            <w:r w:rsidRPr="003B0473">
              <w:rPr>
                <w:rFonts w:ascii="Calibri" w:hAnsi="Calibri" w:cs="Calibri"/>
              </w:rPr>
              <w:t>76</w:t>
            </w:r>
          </w:p>
        </w:tc>
      </w:tr>
    </w:tbl>
    <w:p w14:paraId="1C70FEAA" w14:textId="7A625433" w:rsidR="00083B9F" w:rsidRDefault="00083B9F" w:rsidP="00083B9F"/>
    <w:p w14:paraId="294532EC" w14:textId="4408485F" w:rsidR="003B0473" w:rsidRDefault="00024850" w:rsidP="00A16307">
      <w:pPr>
        <w:spacing w:after="0"/>
        <w:jc w:val="center"/>
      </w:pPr>
      <w:r>
        <w:rPr>
          <w:noProof/>
        </w:rPr>
        <w:drawing>
          <wp:inline distT="0" distB="0" distL="0" distR="0" wp14:anchorId="27E1BAEE" wp14:editId="470D5C02">
            <wp:extent cx="5029200" cy="344509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3445098"/>
                    </a:xfrm>
                    <a:prstGeom prst="rect">
                      <a:avLst/>
                    </a:prstGeom>
                    <a:noFill/>
                  </pic:spPr>
                </pic:pic>
              </a:graphicData>
            </a:graphic>
          </wp:inline>
        </w:drawing>
      </w:r>
    </w:p>
    <w:p w14:paraId="0CCD3391" w14:textId="444FC0EF" w:rsidR="00024850" w:rsidRDefault="00024850" w:rsidP="00024850">
      <w:r>
        <w:t>Figure 2: Exceedance Plot of Initial Concept Annual Exchange Volumes</w:t>
      </w:r>
    </w:p>
    <w:p w14:paraId="42A9650B" w14:textId="413CA6BF" w:rsidR="00587382" w:rsidRDefault="00587382">
      <w:r>
        <w:t xml:space="preserve">In sum, </w:t>
      </w:r>
      <w:r w:rsidR="00EB29C9">
        <w:t xml:space="preserve">this analysis demonstrates a potential for Shasta exchange to </w:t>
      </w:r>
      <w:r w:rsidR="007F3310">
        <w:t>provide</w:t>
      </w:r>
      <w:r w:rsidR="00EB29C9">
        <w:t xml:space="preserve"> Sacramento River temperature benefits. T</w:t>
      </w:r>
      <w:r>
        <w:t xml:space="preserve">o more accurately assess temperature benefits from exchanges with Shasta, a series of modeling exercises must be performed. Initially, sensitivity simulations of </w:t>
      </w:r>
      <w:r w:rsidR="00EA1767">
        <w:t xml:space="preserve">the </w:t>
      </w:r>
      <w:r>
        <w:t>HEC5Q, Martin, and Anderson model</w:t>
      </w:r>
      <w:r w:rsidR="00EB29C9">
        <w:t>s</w:t>
      </w:r>
      <w:r>
        <w:t xml:space="preserve"> could </w:t>
      </w:r>
      <w:r w:rsidR="004D5BB7">
        <w:t xml:space="preserve">be run to assess the </w:t>
      </w:r>
      <w:r>
        <w:t xml:space="preserve">potential </w:t>
      </w:r>
      <w:r w:rsidR="004D5BB7">
        <w:t>for</w:t>
      </w:r>
      <w:r>
        <w:t xml:space="preserve"> temperature </w:t>
      </w:r>
      <w:r w:rsidR="004D5BB7">
        <w:t xml:space="preserve">and mortality </w:t>
      </w:r>
      <w:r>
        <w:t>benefits. If sensitivity</w:t>
      </w:r>
      <w:r w:rsidR="00703123">
        <w:t xml:space="preserve"> </w:t>
      </w:r>
      <w:r w:rsidR="000A4E28">
        <w:t>simulations</w:t>
      </w:r>
      <w:r w:rsidR="00703123">
        <w:t xml:space="preserve"> </w:t>
      </w:r>
      <w:r w:rsidR="000A4E28">
        <w:t xml:space="preserve">of </w:t>
      </w:r>
      <w:r w:rsidR="00EB29C9">
        <w:t>t</w:t>
      </w:r>
      <w:bookmarkStart w:id="0" w:name="_GoBack"/>
      <w:bookmarkEnd w:id="0"/>
      <w:r w:rsidR="00EB29C9">
        <w:t>emperature and mortality</w:t>
      </w:r>
      <w:r>
        <w:t xml:space="preserve"> </w:t>
      </w:r>
      <w:r w:rsidR="00703123">
        <w:t>model</w:t>
      </w:r>
      <w:r w:rsidR="000A4E28">
        <w:t>s</w:t>
      </w:r>
      <w:r w:rsidR="00703123">
        <w:t xml:space="preserve"> </w:t>
      </w:r>
      <w:r w:rsidR="000A4E28">
        <w:t xml:space="preserve">indicate potential for </w:t>
      </w:r>
      <w:r w:rsidR="00703123">
        <w:t>benefi</w:t>
      </w:r>
      <w:r w:rsidR="000A4E28">
        <w:t>ts</w:t>
      </w:r>
      <w:r>
        <w:t>, exchange operations could be implemented in</w:t>
      </w:r>
      <w:r w:rsidR="00EB29C9">
        <w:t>to</w:t>
      </w:r>
      <w:r>
        <w:t xml:space="preserve"> CalSim II to better understand frequency and volume of exchanges.</w:t>
      </w:r>
      <w:r w:rsidR="009C3569">
        <w:t xml:space="preserve"> </w:t>
      </w:r>
      <w:r w:rsidR="00627ADF">
        <w:t>Then, outputs from CalSim II would be run through t</w:t>
      </w:r>
      <w:r w:rsidR="009C3569">
        <w:t xml:space="preserve">emperature and mortality models </w:t>
      </w:r>
      <w:r w:rsidR="00627ADF">
        <w:t xml:space="preserve">to </w:t>
      </w:r>
      <w:r w:rsidR="00171A85">
        <w:t>quantify</w:t>
      </w:r>
      <w:r w:rsidR="00627ADF">
        <w:t xml:space="preserve"> temperature and mortality benefits</w:t>
      </w:r>
      <w:r w:rsidR="00E24545">
        <w:t xml:space="preserve"> of Shasta exchanges</w:t>
      </w:r>
      <w:r w:rsidR="00171A85">
        <w:t>.</w:t>
      </w:r>
    </w:p>
    <w:p w14:paraId="05A5E0AB" w14:textId="77777777" w:rsidR="00AB4D3A" w:rsidRDefault="00AB4D3A" w:rsidP="00AB4D3A">
      <w:pPr>
        <w:pStyle w:val="Heading2"/>
        <w:pageBreakBefore/>
        <w:spacing w:after="240"/>
      </w:pPr>
      <w:r>
        <w:t>Sites Benefits to ROC on LTO Cold Water Pool Management</w:t>
      </w:r>
    </w:p>
    <w:p w14:paraId="47A8B6F8" w14:textId="77777777" w:rsidR="00AB4D3A" w:rsidRDefault="00AB4D3A" w:rsidP="00AB4D3A">
      <w:pPr>
        <w:pStyle w:val="ListParagraph"/>
        <w:keepNext/>
        <w:numPr>
          <w:ilvl w:val="0"/>
          <w:numId w:val="4"/>
        </w:numPr>
      </w:pPr>
      <w:r>
        <w:t>Tier 1 years:</w:t>
      </w:r>
    </w:p>
    <w:p w14:paraId="2E802070" w14:textId="77777777" w:rsidR="00AB4D3A" w:rsidRDefault="00AB4D3A" w:rsidP="00AB4D3A">
      <w:pPr>
        <w:pStyle w:val="ListParagraph"/>
        <w:keepNext/>
        <w:numPr>
          <w:ilvl w:val="1"/>
          <w:numId w:val="4"/>
        </w:numPr>
      </w:pPr>
      <w:r>
        <w:t>No benefit</w:t>
      </w:r>
    </w:p>
    <w:p w14:paraId="04692216" w14:textId="77777777" w:rsidR="00AB4D3A" w:rsidRDefault="00AB4D3A" w:rsidP="00AB4D3A">
      <w:pPr>
        <w:pStyle w:val="ListParagraph"/>
        <w:keepNext/>
        <w:numPr>
          <w:ilvl w:val="0"/>
          <w:numId w:val="4"/>
        </w:numPr>
      </w:pPr>
      <w:r>
        <w:t>Tier 2 years:</w:t>
      </w:r>
    </w:p>
    <w:p w14:paraId="504D5EB6" w14:textId="77777777" w:rsidR="00AB4D3A" w:rsidRDefault="00AB4D3A" w:rsidP="00AB4D3A">
      <w:pPr>
        <w:pStyle w:val="ListParagraph"/>
        <w:keepNext/>
        <w:numPr>
          <w:ilvl w:val="1"/>
          <w:numId w:val="4"/>
        </w:numPr>
      </w:pPr>
      <w:r>
        <w:t>Decreasing releases in April through June could preserve Shasta cold water pool for more targeted release in the hatching period (described above).</w:t>
      </w:r>
    </w:p>
    <w:p w14:paraId="43375937" w14:textId="77777777" w:rsidR="00AB4D3A" w:rsidRDefault="00AB4D3A" w:rsidP="00AB4D3A">
      <w:pPr>
        <w:pStyle w:val="ListParagraph"/>
        <w:keepNext/>
        <w:numPr>
          <w:ilvl w:val="0"/>
          <w:numId w:val="4"/>
        </w:numPr>
      </w:pPr>
      <w:r>
        <w:t>Tier 3 years:</w:t>
      </w:r>
    </w:p>
    <w:p w14:paraId="3D665871" w14:textId="77777777" w:rsidR="00AB4D3A" w:rsidRDefault="00AB4D3A" w:rsidP="00AB4D3A">
      <w:pPr>
        <w:pStyle w:val="ListParagraph"/>
        <w:numPr>
          <w:ilvl w:val="1"/>
          <w:numId w:val="4"/>
        </w:numPr>
      </w:pPr>
      <w:r>
        <w:t>Decreasing releases in April through June</w:t>
      </w:r>
      <w:r w:rsidDel="0039724D">
        <w:t xml:space="preserve"> </w:t>
      </w:r>
      <w:r>
        <w:t xml:space="preserve"> could preserve Shasta cold water pool for more targeted release in the hatching period (described above).</w:t>
      </w:r>
    </w:p>
    <w:p w14:paraId="1A5BA924" w14:textId="77777777" w:rsidR="00AB4D3A" w:rsidRDefault="00AB4D3A" w:rsidP="00AB4D3A">
      <w:pPr>
        <w:pStyle w:val="ListParagraph"/>
        <w:numPr>
          <w:ilvl w:val="0"/>
          <w:numId w:val="4"/>
        </w:numPr>
      </w:pPr>
      <w:r>
        <w:t>Tier 4 years:</w:t>
      </w:r>
    </w:p>
    <w:p w14:paraId="4974857F" w14:textId="77777777" w:rsidR="00AB4D3A" w:rsidRPr="00E9122A" w:rsidRDefault="00AB4D3A" w:rsidP="00AB4D3A">
      <w:pPr>
        <w:pStyle w:val="ListParagraph"/>
        <w:numPr>
          <w:ilvl w:val="1"/>
          <w:numId w:val="4"/>
        </w:numPr>
      </w:pPr>
      <w:r>
        <w:t>Little benefit – On its own, Sites could not benefit Shasta cold water pool in an appreciable manner. In combination with intervention measures, Sites may prove beneficial.</w:t>
      </w:r>
    </w:p>
    <w:p w14:paraId="2F059EB2" w14:textId="77777777" w:rsidR="00AB4D3A" w:rsidRDefault="00AB4D3A" w:rsidP="00083B9F"/>
    <w:p w14:paraId="492DD4DE" w14:textId="01A04C3D" w:rsidR="00AB4D3A" w:rsidRDefault="00887AD9" w:rsidP="00A16307">
      <w:pPr>
        <w:pStyle w:val="Heading2"/>
      </w:pPr>
      <w:r>
        <w:t>Attachments from ROC on LTO FEIS</w:t>
      </w:r>
    </w:p>
    <w:p w14:paraId="35E6763B" w14:textId="1F16CFC7" w:rsidR="00083B9F" w:rsidRDefault="00083B9F" w:rsidP="00083B9F">
      <w:pPr>
        <w:jc w:val="center"/>
      </w:pPr>
      <w:r>
        <w:rPr>
          <w:noProof/>
        </w:rPr>
        <w:drawing>
          <wp:inline distT="0" distB="0" distL="0" distR="0" wp14:anchorId="2B9CDE9C" wp14:editId="3C14E3E2">
            <wp:extent cx="5486400" cy="525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5257800"/>
                    </a:xfrm>
                    <a:prstGeom prst="rect">
                      <a:avLst/>
                    </a:prstGeom>
                  </pic:spPr>
                </pic:pic>
              </a:graphicData>
            </a:graphic>
          </wp:inline>
        </w:drawing>
      </w:r>
    </w:p>
    <w:p w14:paraId="6552914B" w14:textId="77777777" w:rsidR="00083B9F" w:rsidRPr="00052687" w:rsidRDefault="00083B9F" w:rsidP="00083B9F">
      <w:pPr>
        <w:jc w:val="center"/>
      </w:pPr>
      <w:r w:rsidRPr="00333890">
        <w:rPr>
          <w:noProof/>
        </w:rPr>
        <w:drawing>
          <wp:inline distT="0" distB="0" distL="0" distR="0" wp14:anchorId="08772D72" wp14:editId="5F1727CF">
            <wp:extent cx="5486400" cy="53433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5343378"/>
                    </a:xfrm>
                    <a:prstGeom prst="rect">
                      <a:avLst/>
                    </a:prstGeom>
                  </pic:spPr>
                </pic:pic>
              </a:graphicData>
            </a:graphic>
          </wp:inline>
        </w:drawing>
      </w:r>
    </w:p>
    <w:p w14:paraId="35DE70D1" w14:textId="77777777" w:rsidR="00441693" w:rsidRDefault="00441693" w:rsidP="00D22DFB"/>
    <w:p w14:paraId="4043FE10" w14:textId="55C665D8" w:rsidR="00F10ADE" w:rsidRDefault="004762E5">
      <w:r>
        <w:rPr>
          <w:noProof/>
        </w:rPr>
        <w:drawing>
          <wp:inline distT="0" distB="0" distL="0" distR="0" wp14:anchorId="09BD8697" wp14:editId="1874D970">
            <wp:extent cx="5943600" cy="7771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771765"/>
                    </a:xfrm>
                    <a:prstGeom prst="rect">
                      <a:avLst/>
                    </a:prstGeom>
                  </pic:spPr>
                </pic:pic>
              </a:graphicData>
            </a:graphic>
          </wp:inline>
        </w:drawing>
      </w:r>
    </w:p>
    <w:sectPr w:rsidR="00F10ADE">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8CC1F" w14:textId="77777777" w:rsidR="00B137CB" w:rsidRDefault="00B137CB" w:rsidP="00B329FD">
      <w:pPr>
        <w:spacing w:after="0" w:line="240" w:lineRule="auto"/>
      </w:pPr>
      <w:r>
        <w:separator/>
      </w:r>
    </w:p>
  </w:endnote>
  <w:endnote w:type="continuationSeparator" w:id="0">
    <w:p w14:paraId="32BB1FFC" w14:textId="77777777" w:rsidR="00B137CB" w:rsidRDefault="00B137CB" w:rsidP="00B32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215194"/>
      <w:docPartObj>
        <w:docPartGallery w:val="Page Numbers (Bottom of Page)"/>
        <w:docPartUnique/>
      </w:docPartObj>
    </w:sdtPr>
    <w:sdtEndPr>
      <w:rPr>
        <w:noProof/>
      </w:rPr>
    </w:sdtEndPr>
    <w:sdtContent>
      <w:p w14:paraId="00FAE5A8" w14:textId="7179822C" w:rsidR="00320F38" w:rsidRDefault="00320F38">
        <w:pPr>
          <w:pStyle w:val="Footer"/>
          <w:jc w:val="right"/>
        </w:pPr>
        <w:r>
          <w:fldChar w:fldCharType="begin"/>
        </w:r>
        <w:r>
          <w:instrText xml:space="preserve"> PAGE   \* MERGEFORMAT </w:instrText>
        </w:r>
        <w:r>
          <w:fldChar w:fldCharType="separate"/>
        </w:r>
        <w:r w:rsidR="00443A88">
          <w:rPr>
            <w:noProof/>
          </w:rPr>
          <w:t>3</w:t>
        </w:r>
        <w:r>
          <w:rPr>
            <w:noProof/>
          </w:rPr>
          <w:fldChar w:fldCharType="end"/>
        </w:r>
      </w:p>
    </w:sdtContent>
  </w:sdt>
  <w:p w14:paraId="1916E855" w14:textId="77777777" w:rsidR="00320F38" w:rsidRDefault="00320F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71323" w14:textId="77777777" w:rsidR="00B137CB" w:rsidRDefault="00B137CB" w:rsidP="00B329FD">
      <w:pPr>
        <w:spacing w:after="0" w:line="240" w:lineRule="auto"/>
      </w:pPr>
      <w:r>
        <w:separator/>
      </w:r>
    </w:p>
  </w:footnote>
  <w:footnote w:type="continuationSeparator" w:id="0">
    <w:p w14:paraId="2BB28D88" w14:textId="77777777" w:rsidR="00B137CB" w:rsidRDefault="00B137CB" w:rsidP="00B329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8E665" w14:textId="30C57550" w:rsidR="00B329FD" w:rsidRDefault="00B329FD" w:rsidP="00B329FD">
    <w:pPr>
      <w:pStyle w:val="Header"/>
      <w:jc w:val="right"/>
    </w:pPr>
    <w:r>
      <w:t xml:space="preserve">Date: </w:t>
    </w:r>
    <w:r w:rsidR="00BF498A">
      <w:t>5</w:t>
    </w:r>
    <w:r w:rsidR="00E321CD">
      <w:t>/</w:t>
    </w:r>
    <w:r w:rsidR="00A16307">
      <w:t>20</w:t>
    </w:r>
    <w:r w:rsidR="00E321CD">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14DD8"/>
    <w:multiLevelType w:val="hybridMultilevel"/>
    <w:tmpl w:val="4D6EC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DC1E67"/>
    <w:multiLevelType w:val="hybridMultilevel"/>
    <w:tmpl w:val="0E48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283ABB"/>
    <w:multiLevelType w:val="hybridMultilevel"/>
    <w:tmpl w:val="A2422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DB4EE7"/>
    <w:multiLevelType w:val="hybridMultilevel"/>
    <w:tmpl w:val="6FEE9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EE3D35"/>
    <w:multiLevelType w:val="hybridMultilevel"/>
    <w:tmpl w:val="981A9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E5"/>
    <w:rsid w:val="00002754"/>
    <w:rsid w:val="000032EA"/>
    <w:rsid w:val="0000670E"/>
    <w:rsid w:val="000124A3"/>
    <w:rsid w:val="00020963"/>
    <w:rsid w:val="00020C74"/>
    <w:rsid w:val="00024850"/>
    <w:rsid w:val="00025F34"/>
    <w:rsid w:val="0002756B"/>
    <w:rsid w:val="00027E1E"/>
    <w:rsid w:val="000324A5"/>
    <w:rsid w:val="00034755"/>
    <w:rsid w:val="00036708"/>
    <w:rsid w:val="00052687"/>
    <w:rsid w:val="00060192"/>
    <w:rsid w:val="000643E1"/>
    <w:rsid w:val="00073DC7"/>
    <w:rsid w:val="00075FF5"/>
    <w:rsid w:val="00083B9F"/>
    <w:rsid w:val="00091637"/>
    <w:rsid w:val="0009606D"/>
    <w:rsid w:val="000A4AC7"/>
    <w:rsid w:val="000A4E28"/>
    <w:rsid w:val="000A4E8F"/>
    <w:rsid w:val="000B61DC"/>
    <w:rsid w:val="000C4456"/>
    <w:rsid w:val="000D2E48"/>
    <w:rsid w:val="000F038F"/>
    <w:rsid w:val="00104E5F"/>
    <w:rsid w:val="001052DC"/>
    <w:rsid w:val="0010705D"/>
    <w:rsid w:val="0011051A"/>
    <w:rsid w:val="00115E85"/>
    <w:rsid w:val="00116AF8"/>
    <w:rsid w:val="00120E0A"/>
    <w:rsid w:val="001230CC"/>
    <w:rsid w:val="001307DB"/>
    <w:rsid w:val="00131596"/>
    <w:rsid w:val="001362E9"/>
    <w:rsid w:val="001427A5"/>
    <w:rsid w:val="00150478"/>
    <w:rsid w:val="00150F35"/>
    <w:rsid w:val="001643D9"/>
    <w:rsid w:val="00171A85"/>
    <w:rsid w:val="00181CD3"/>
    <w:rsid w:val="00187841"/>
    <w:rsid w:val="0019143B"/>
    <w:rsid w:val="00194BCA"/>
    <w:rsid w:val="001A2D22"/>
    <w:rsid w:val="001A57A5"/>
    <w:rsid w:val="001A7D0D"/>
    <w:rsid w:val="001B323E"/>
    <w:rsid w:val="001B3E14"/>
    <w:rsid w:val="001B46DA"/>
    <w:rsid w:val="001D30D2"/>
    <w:rsid w:val="001D41DC"/>
    <w:rsid w:val="001E6D8A"/>
    <w:rsid w:val="001E740C"/>
    <w:rsid w:val="001F3EEA"/>
    <w:rsid w:val="001F5079"/>
    <w:rsid w:val="001F6DE9"/>
    <w:rsid w:val="00216DF2"/>
    <w:rsid w:val="00234500"/>
    <w:rsid w:val="00247437"/>
    <w:rsid w:val="00250E7B"/>
    <w:rsid w:val="002567BA"/>
    <w:rsid w:val="00256C1B"/>
    <w:rsid w:val="00262E5C"/>
    <w:rsid w:val="00264B96"/>
    <w:rsid w:val="00267306"/>
    <w:rsid w:val="00273798"/>
    <w:rsid w:val="00276A28"/>
    <w:rsid w:val="00277B9E"/>
    <w:rsid w:val="00296A9B"/>
    <w:rsid w:val="002B0C1C"/>
    <w:rsid w:val="002B3E85"/>
    <w:rsid w:val="002B45A0"/>
    <w:rsid w:val="002B61D6"/>
    <w:rsid w:val="002D1946"/>
    <w:rsid w:val="002F0B53"/>
    <w:rsid w:val="002F6C07"/>
    <w:rsid w:val="00302CD3"/>
    <w:rsid w:val="003062D0"/>
    <w:rsid w:val="0031114C"/>
    <w:rsid w:val="0031683B"/>
    <w:rsid w:val="00320F38"/>
    <w:rsid w:val="003221AD"/>
    <w:rsid w:val="003331CA"/>
    <w:rsid w:val="00333200"/>
    <w:rsid w:val="00333890"/>
    <w:rsid w:val="00333D4F"/>
    <w:rsid w:val="00340622"/>
    <w:rsid w:val="00340762"/>
    <w:rsid w:val="003432CB"/>
    <w:rsid w:val="003510BC"/>
    <w:rsid w:val="0035475C"/>
    <w:rsid w:val="00363927"/>
    <w:rsid w:val="00365E5B"/>
    <w:rsid w:val="003670B2"/>
    <w:rsid w:val="00375DD5"/>
    <w:rsid w:val="00382959"/>
    <w:rsid w:val="00385DE0"/>
    <w:rsid w:val="003927A4"/>
    <w:rsid w:val="003959C1"/>
    <w:rsid w:val="0039724D"/>
    <w:rsid w:val="003A1D70"/>
    <w:rsid w:val="003A2FF0"/>
    <w:rsid w:val="003A7C0F"/>
    <w:rsid w:val="003B0473"/>
    <w:rsid w:val="003B28C1"/>
    <w:rsid w:val="003B631A"/>
    <w:rsid w:val="003D2E46"/>
    <w:rsid w:val="003D47B7"/>
    <w:rsid w:val="003E39B6"/>
    <w:rsid w:val="003F6F43"/>
    <w:rsid w:val="00430B5E"/>
    <w:rsid w:val="00441693"/>
    <w:rsid w:val="00443990"/>
    <w:rsid w:val="00443A88"/>
    <w:rsid w:val="00445CAA"/>
    <w:rsid w:val="00452DC3"/>
    <w:rsid w:val="004568F5"/>
    <w:rsid w:val="00471D7F"/>
    <w:rsid w:val="004762E5"/>
    <w:rsid w:val="0048532E"/>
    <w:rsid w:val="004861DF"/>
    <w:rsid w:val="00496D44"/>
    <w:rsid w:val="004A0BD8"/>
    <w:rsid w:val="004A2939"/>
    <w:rsid w:val="004A5229"/>
    <w:rsid w:val="004A6B8E"/>
    <w:rsid w:val="004B0137"/>
    <w:rsid w:val="004B45C7"/>
    <w:rsid w:val="004B72DC"/>
    <w:rsid w:val="004C563A"/>
    <w:rsid w:val="004D11E3"/>
    <w:rsid w:val="004D324E"/>
    <w:rsid w:val="004D5BB7"/>
    <w:rsid w:val="004E47B8"/>
    <w:rsid w:val="00502CDE"/>
    <w:rsid w:val="00504381"/>
    <w:rsid w:val="00505613"/>
    <w:rsid w:val="00506EFD"/>
    <w:rsid w:val="005270A8"/>
    <w:rsid w:val="00531C70"/>
    <w:rsid w:val="0053680A"/>
    <w:rsid w:val="00536B43"/>
    <w:rsid w:val="00545779"/>
    <w:rsid w:val="00546128"/>
    <w:rsid w:val="00560168"/>
    <w:rsid w:val="00564BF7"/>
    <w:rsid w:val="005774BA"/>
    <w:rsid w:val="00586789"/>
    <w:rsid w:val="00586D51"/>
    <w:rsid w:val="00587382"/>
    <w:rsid w:val="005A76BC"/>
    <w:rsid w:val="005A78A9"/>
    <w:rsid w:val="005B0CCA"/>
    <w:rsid w:val="005B38B7"/>
    <w:rsid w:val="005C1955"/>
    <w:rsid w:val="005D0601"/>
    <w:rsid w:val="005D273D"/>
    <w:rsid w:val="005E51BC"/>
    <w:rsid w:val="005F20AF"/>
    <w:rsid w:val="00602A0A"/>
    <w:rsid w:val="006045F0"/>
    <w:rsid w:val="006046F5"/>
    <w:rsid w:val="00612895"/>
    <w:rsid w:val="00623A3D"/>
    <w:rsid w:val="00627ADF"/>
    <w:rsid w:val="006308F9"/>
    <w:rsid w:val="00631ACD"/>
    <w:rsid w:val="00636A33"/>
    <w:rsid w:val="006414C3"/>
    <w:rsid w:val="00641C72"/>
    <w:rsid w:val="00644B84"/>
    <w:rsid w:val="00672B01"/>
    <w:rsid w:val="006765CF"/>
    <w:rsid w:val="00683D31"/>
    <w:rsid w:val="00691F85"/>
    <w:rsid w:val="00694B7E"/>
    <w:rsid w:val="006A7CDC"/>
    <w:rsid w:val="006B066D"/>
    <w:rsid w:val="006B3D43"/>
    <w:rsid w:val="006B3EE9"/>
    <w:rsid w:val="006C0536"/>
    <w:rsid w:val="006C673C"/>
    <w:rsid w:val="006E3C6A"/>
    <w:rsid w:val="006F29D5"/>
    <w:rsid w:val="00702A62"/>
    <w:rsid w:val="00703123"/>
    <w:rsid w:val="007120D9"/>
    <w:rsid w:val="00732A9C"/>
    <w:rsid w:val="00737193"/>
    <w:rsid w:val="00740B2B"/>
    <w:rsid w:val="007462F3"/>
    <w:rsid w:val="00754407"/>
    <w:rsid w:val="007655EB"/>
    <w:rsid w:val="00770AC0"/>
    <w:rsid w:val="0078272A"/>
    <w:rsid w:val="007902C8"/>
    <w:rsid w:val="007911BE"/>
    <w:rsid w:val="0079167D"/>
    <w:rsid w:val="00791856"/>
    <w:rsid w:val="007A6119"/>
    <w:rsid w:val="007A7B50"/>
    <w:rsid w:val="007B1E0D"/>
    <w:rsid w:val="007B4690"/>
    <w:rsid w:val="007B5EF8"/>
    <w:rsid w:val="007C4CCB"/>
    <w:rsid w:val="007C5F32"/>
    <w:rsid w:val="007D7645"/>
    <w:rsid w:val="007E0878"/>
    <w:rsid w:val="007E0F3E"/>
    <w:rsid w:val="007E25ED"/>
    <w:rsid w:val="007E6FFD"/>
    <w:rsid w:val="007F234B"/>
    <w:rsid w:val="007F27B8"/>
    <w:rsid w:val="007F2B82"/>
    <w:rsid w:val="007F3310"/>
    <w:rsid w:val="007F4A0D"/>
    <w:rsid w:val="007F5046"/>
    <w:rsid w:val="00817EE2"/>
    <w:rsid w:val="008208F2"/>
    <w:rsid w:val="008209AC"/>
    <w:rsid w:val="00840037"/>
    <w:rsid w:val="00841931"/>
    <w:rsid w:val="008427E4"/>
    <w:rsid w:val="008528C2"/>
    <w:rsid w:val="008561BB"/>
    <w:rsid w:val="00857E0D"/>
    <w:rsid w:val="00860FA6"/>
    <w:rsid w:val="008612EF"/>
    <w:rsid w:val="00862AFE"/>
    <w:rsid w:val="00863337"/>
    <w:rsid w:val="0086422A"/>
    <w:rsid w:val="00872BF3"/>
    <w:rsid w:val="00873A8A"/>
    <w:rsid w:val="008761EB"/>
    <w:rsid w:val="00880B93"/>
    <w:rsid w:val="008816F8"/>
    <w:rsid w:val="008823DD"/>
    <w:rsid w:val="008850E9"/>
    <w:rsid w:val="008877BB"/>
    <w:rsid w:val="00887AD9"/>
    <w:rsid w:val="0089366E"/>
    <w:rsid w:val="008A2FEC"/>
    <w:rsid w:val="008B23D1"/>
    <w:rsid w:val="008C0376"/>
    <w:rsid w:val="008C03F0"/>
    <w:rsid w:val="008C4C5B"/>
    <w:rsid w:val="008D3FD1"/>
    <w:rsid w:val="008D4C0D"/>
    <w:rsid w:val="008D601E"/>
    <w:rsid w:val="008D646E"/>
    <w:rsid w:val="008E57BB"/>
    <w:rsid w:val="008E6CE4"/>
    <w:rsid w:val="008F1C4C"/>
    <w:rsid w:val="008F5122"/>
    <w:rsid w:val="0091684B"/>
    <w:rsid w:val="00920B39"/>
    <w:rsid w:val="009216C1"/>
    <w:rsid w:val="00921782"/>
    <w:rsid w:val="00927E78"/>
    <w:rsid w:val="009304B8"/>
    <w:rsid w:val="00932AA8"/>
    <w:rsid w:val="009359DC"/>
    <w:rsid w:val="00936655"/>
    <w:rsid w:val="009466DF"/>
    <w:rsid w:val="009468C6"/>
    <w:rsid w:val="009511BA"/>
    <w:rsid w:val="00954F32"/>
    <w:rsid w:val="00960150"/>
    <w:rsid w:val="0096163E"/>
    <w:rsid w:val="0096791C"/>
    <w:rsid w:val="00980D70"/>
    <w:rsid w:val="00987BFC"/>
    <w:rsid w:val="00996D31"/>
    <w:rsid w:val="00997D93"/>
    <w:rsid w:val="009C3569"/>
    <w:rsid w:val="009C4099"/>
    <w:rsid w:val="009D3263"/>
    <w:rsid w:val="009D3DD8"/>
    <w:rsid w:val="009D4B65"/>
    <w:rsid w:val="009E497B"/>
    <w:rsid w:val="009E516A"/>
    <w:rsid w:val="009E67F4"/>
    <w:rsid w:val="009E7729"/>
    <w:rsid w:val="009E7901"/>
    <w:rsid w:val="009F7099"/>
    <w:rsid w:val="00A002BD"/>
    <w:rsid w:val="00A02E97"/>
    <w:rsid w:val="00A07F89"/>
    <w:rsid w:val="00A10E39"/>
    <w:rsid w:val="00A12143"/>
    <w:rsid w:val="00A133EC"/>
    <w:rsid w:val="00A15299"/>
    <w:rsid w:val="00A16307"/>
    <w:rsid w:val="00A17CA8"/>
    <w:rsid w:val="00A2034B"/>
    <w:rsid w:val="00A33005"/>
    <w:rsid w:val="00A34D3B"/>
    <w:rsid w:val="00A34F22"/>
    <w:rsid w:val="00A60C1A"/>
    <w:rsid w:val="00A717EB"/>
    <w:rsid w:val="00A73E9B"/>
    <w:rsid w:val="00A74EF8"/>
    <w:rsid w:val="00A805BC"/>
    <w:rsid w:val="00A85A33"/>
    <w:rsid w:val="00A85BAA"/>
    <w:rsid w:val="00A96610"/>
    <w:rsid w:val="00AA2EB8"/>
    <w:rsid w:val="00AB4D3A"/>
    <w:rsid w:val="00AC3ABC"/>
    <w:rsid w:val="00AD430B"/>
    <w:rsid w:val="00AD4406"/>
    <w:rsid w:val="00AD77C1"/>
    <w:rsid w:val="00AF4DE7"/>
    <w:rsid w:val="00AF7FB6"/>
    <w:rsid w:val="00B04DD8"/>
    <w:rsid w:val="00B106A8"/>
    <w:rsid w:val="00B137CB"/>
    <w:rsid w:val="00B169A7"/>
    <w:rsid w:val="00B329FD"/>
    <w:rsid w:val="00B43866"/>
    <w:rsid w:val="00B529B7"/>
    <w:rsid w:val="00B5645C"/>
    <w:rsid w:val="00B65910"/>
    <w:rsid w:val="00B76680"/>
    <w:rsid w:val="00B77240"/>
    <w:rsid w:val="00B83484"/>
    <w:rsid w:val="00B85E80"/>
    <w:rsid w:val="00B8679D"/>
    <w:rsid w:val="00B9299A"/>
    <w:rsid w:val="00B93DC6"/>
    <w:rsid w:val="00BA71CF"/>
    <w:rsid w:val="00BB0190"/>
    <w:rsid w:val="00BB2D53"/>
    <w:rsid w:val="00BB70BB"/>
    <w:rsid w:val="00BC1FC9"/>
    <w:rsid w:val="00BC3642"/>
    <w:rsid w:val="00BC404C"/>
    <w:rsid w:val="00BD4A08"/>
    <w:rsid w:val="00BD672C"/>
    <w:rsid w:val="00BD7AC3"/>
    <w:rsid w:val="00BE40EA"/>
    <w:rsid w:val="00BF1A1C"/>
    <w:rsid w:val="00BF3251"/>
    <w:rsid w:val="00BF3376"/>
    <w:rsid w:val="00BF498A"/>
    <w:rsid w:val="00BF5203"/>
    <w:rsid w:val="00BF7A45"/>
    <w:rsid w:val="00C0427D"/>
    <w:rsid w:val="00C13EF7"/>
    <w:rsid w:val="00C267F6"/>
    <w:rsid w:val="00C338DC"/>
    <w:rsid w:val="00C34A91"/>
    <w:rsid w:val="00C40374"/>
    <w:rsid w:val="00C403AD"/>
    <w:rsid w:val="00C47D5F"/>
    <w:rsid w:val="00C5260E"/>
    <w:rsid w:val="00C54AE3"/>
    <w:rsid w:val="00C579E8"/>
    <w:rsid w:val="00C61667"/>
    <w:rsid w:val="00C61FE7"/>
    <w:rsid w:val="00C6620A"/>
    <w:rsid w:val="00C66E99"/>
    <w:rsid w:val="00C719A4"/>
    <w:rsid w:val="00C72311"/>
    <w:rsid w:val="00C85664"/>
    <w:rsid w:val="00C90A0C"/>
    <w:rsid w:val="00CA34D2"/>
    <w:rsid w:val="00CA637A"/>
    <w:rsid w:val="00CB7376"/>
    <w:rsid w:val="00CC7E52"/>
    <w:rsid w:val="00CD6CBD"/>
    <w:rsid w:val="00CD6E36"/>
    <w:rsid w:val="00CE4378"/>
    <w:rsid w:val="00D04888"/>
    <w:rsid w:val="00D11009"/>
    <w:rsid w:val="00D1111F"/>
    <w:rsid w:val="00D120B6"/>
    <w:rsid w:val="00D207D2"/>
    <w:rsid w:val="00D229B4"/>
    <w:rsid w:val="00D22DFB"/>
    <w:rsid w:val="00D23A53"/>
    <w:rsid w:val="00D32027"/>
    <w:rsid w:val="00D3277E"/>
    <w:rsid w:val="00D33D30"/>
    <w:rsid w:val="00D45A01"/>
    <w:rsid w:val="00D54385"/>
    <w:rsid w:val="00D55AA7"/>
    <w:rsid w:val="00D92EE7"/>
    <w:rsid w:val="00D93B0B"/>
    <w:rsid w:val="00D962B8"/>
    <w:rsid w:val="00D9751C"/>
    <w:rsid w:val="00DA35F3"/>
    <w:rsid w:val="00DB0516"/>
    <w:rsid w:val="00DB0AC6"/>
    <w:rsid w:val="00DB4830"/>
    <w:rsid w:val="00DB6BA4"/>
    <w:rsid w:val="00DD30FC"/>
    <w:rsid w:val="00DD6CA8"/>
    <w:rsid w:val="00DF353E"/>
    <w:rsid w:val="00DF6576"/>
    <w:rsid w:val="00DF6E49"/>
    <w:rsid w:val="00E0071F"/>
    <w:rsid w:val="00E00E42"/>
    <w:rsid w:val="00E03B18"/>
    <w:rsid w:val="00E05DB8"/>
    <w:rsid w:val="00E10D01"/>
    <w:rsid w:val="00E136C4"/>
    <w:rsid w:val="00E24106"/>
    <w:rsid w:val="00E24545"/>
    <w:rsid w:val="00E26C3D"/>
    <w:rsid w:val="00E2776D"/>
    <w:rsid w:val="00E321CD"/>
    <w:rsid w:val="00E3762C"/>
    <w:rsid w:val="00E43230"/>
    <w:rsid w:val="00E4690F"/>
    <w:rsid w:val="00E47AFB"/>
    <w:rsid w:val="00E51699"/>
    <w:rsid w:val="00E54660"/>
    <w:rsid w:val="00E56292"/>
    <w:rsid w:val="00E63C34"/>
    <w:rsid w:val="00E7462D"/>
    <w:rsid w:val="00E76318"/>
    <w:rsid w:val="00E80FB7"/>
    <w:rsid w:val="00E8198F"/>
    <w:rsid w:val="00E82AD9"/>
    <w:rsid w:val="00E9122A"/>
    <w:rsid w:val="00E9190E"/>
    <w:rsid w:val="00E95627"/>
    <w:rsid w:val="00E96061"/>
    <w:rsid w:val="00EA1767"/>
    <w:rsid w:val="00EA402B"/>
    <w:rsid w:val="00EA5579"/>
    <w:rsid w:val="00EB29C9"/>
    <w:rsid w:val="00EB5885"/>
    <w:rsid w:val="00EC4568"/>
    <w:rsid w:val="00EC5F7A"/>
    <w:rsid w:val="00ED4401"/>
    <w:rsid w:val="00ED6981"/>
    <w:rsid w:val="00EE682B"/>
    <w:rsid w:val="00F0000C"/>
    <w:rsid w:val="00F00617"/>
    <w:rsid w:val="00F024AA"/>
    <w:rsid w:val="00F073EB"/>
    <w:rsid w:val="00F10ADE"/>
    <w:rsid w:val="00F13387"/>
    <w:rsid w:val="00F16E4E"/>
    <w:rsid w:val="00F207EA"/>
    <w:rsid w:val="00F46AE5"/>
    <w:rsid w:val="00F47457"/>
    <w:rsid w:val="00F5164D"/>
    <w:rsid w:val="00F519F0"/>
    <w:rsid w:val="00F5351C"/>
    <w:rsid w:val="00F550A3"/>
    <w:rsid w:val="00F554D6"/>
    <w:rsid w:val="00F56351"/>
    <w:rsid w:val="00F567DA"/>
    <w:rsid w:val="00F57383"/>
    <w:rsid w:val="00F64607"/>
    <w:rsid w:val="00F70F55"/>
    <w:rsid w:val="00F72606"/>
    <w:rsid w:val="00F73F48"/>
    <w:rsid w:val="00F74590"/>
    <w:rsid w:val="00F95209"/>
    <w:rsid w:val="00F96158"/>
    <w:rsid w:val="00FA38AE"/>
    <w:rsid w:val="00FA455D"/>
    <w:rsid w:val="00FA4FD6"/>
    <w:rsid w:val="00FA7A97"/>
    <w:rsid w:val="00FB5769"/>
    <w:rsid w:val="00FC4C89"/>
    <w:rsid w:val="00FC7C06"/>
    <w:rsid w:val="00FD6F05"/>
    <w:rsid w:val="00FE10E4"/>
    <w:rsid w:val="00FE3679"/>
    <w:rsid w:val="00FF37BF"/>
    <w:rsid w:val="00FF525E"/>
    <w:rsid w:val="00FF7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715AE"/>
  <w15:chartTrackingRefBased/>
  <w15:docId w15:val="{9378F125-E239-4401-9EBE-2271D0908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21CD"/>
    <w:pPr>
      <w:keepNext/>
      <w:keepLines/>
      <w:spacing w:before="240" w:after="0"/>
      <w:outlineLvl w:val="0"/>
    </w:pPr>
    <w:rPr>
      <w:rFonts w:asciiTheme="majorHAnsi" w:eastAsiaTheme="majorEastAsia" w:hAnsiTheme="majorHAnsi" w:cstheme="majorBidi"/>
      <w:color w:val="1A0FA4" w:themeColor="accent1" w:themeShade="BF"/>
      <w:sz w:val="32"/>
      <w:szCs w:val="32"/>
    </w:rPr>
  </w:style>
  <w:style w:type="paragraph" w:styleId="Heading2">
    <w:name w:val="heading 2"/>
    <w:basedOn w:val="Normal"/>
    <w:next w:val="Normal"/>
    <w:link w:val="Heading2Char"/>
    <w:uiPriority w:val="9"/>
    <w:unhideWhenUsed/>
    <w:qFormat/>
    <w:rsid w:val="00586D51"/>
    <w:pPr>
      <w:keepNext/>
      <w:keepLines/>
      <w:spacing w:before="40" w:after="0"/>
      <w:outlineLvl w:val="1"/>
    </w:pPr>
    <w:rPr>
      <w:rFonts w:asciiTheme="majorHAnsi" w:eastAsiaTheme="majorEastAsia" w:hAnsiTheme="majorHAnsi" w:cstheme="majorBidi"/>
      <w:color w:val="1A0FA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C5B"/>
    <w:pPr>
      <w:ind w:left="720"/>
      <w:contextualSpacing/>
    </w:pPr>
  </w:style>
  <w:style w:type="character" w:customStyle="1" w:styleId="Heading2Char">
    <w:name w:val="Heading 2 Char"/>
    <w:basedOn w:val="DefaultParagraphFont"/>
    <w:link w:val="Heading2"/>
    <w:uiPriority w:val="9"/>
    <w:rsid w:val="00586D51"/>
    <w:rPr>
      <w:rFonts w:asciiTheme="majorHAnsi" w:eastAsiaTheme="majorEastAsia" w:hAnsiTheme="majorHAnsi" w:cstheme="majorBidi"/>
      <w:color w:val="1A0FA4" w:themeColor="accent1" w:themeShade="BF"/>
      <w:sz w:val="26"/>
      <w:szCs w:val="26"/>
    </w:rPr>
  </w:style>
  <w:style w:type="character" w:styleId="CommentReference">
    <w:name w:val="annotation reference"/>
    <w:basedOn w:val="DefaultParagraphFont"/>
    <w:uiPriority w:val="99"/>
    <w:semiHidden/>
    <w:unhideWhenUsed/>
    <w:rsid w:val="00A34D3B"/>
    <w:rPr>
      <w:sz w:val="16"/>
      <w:szCs w:val="16"/>
    </w:rPr>
  </w:style>
  <w:style w:type="paragraph" w:styleId="CommentText">
    <w:name w:val="annotation text"/>
    <w:basedOn w:val="Normal"/>
    <w:link w:val="CommentTextChar"/>
    <w:uiPriority w:val="99"/>
    <w:semiHidden/>
    <w:unhideWhenUsed/>
    <w:rsid w:val="00A34D3B"/>
    <w:pPr>
      <w:spacing w:line="240" w:lineRule="auto"/>
    </w:pPr>
    <w:rPr>
      <w:sz w:val="20"/>
      <w:szCs w:val="20"/>
    </w:rPr>
  </w:style>
  <w:style w:type="character" w:customStyle="1" w:styleId="CommentTextChar">
    <w:name w:val="Comment Text Char"/>
    <w:basedOn w:val="DefaultParagraphFont"/>
    <w:link w:val="CommentText"/>
    <w:uiPriority w:val="99"/>
    <w:semiHidden/>
    <w:rsid w:val="00A34D3B"/>
    <w:rPr>
      <w:sz w:val="20"/>
      <w:szCs w:val="20"/>
    </w:rPr>
  </w:style>
  <w:style w:type="paragraph" w:styleId="CommentSubject">
    <w:name w:val="annotation subject"/>
    <w:basedOn w:val="CommentText"/>
    <w:next w:val="CommentText"/>
    <w:link w:val="CommentSubjectChar"/>
    <w:uiPriority w:val="99"/>
    <w:semiHidden/>
    <w:unhideWhenUsed/>
    <w:rsid w:val="00A34D3B"/>
    <w:rPr>
      <w:b/>
      <w:bCs/>
    </w:rPr>
  </w:style>
  <w:style w:type="character" w:customStyle="1" w:styleId="CommentSubjectChar">
    <w:name w:val="Comment Subject Char"/>
    <w:basedOn w:val="CommentTextChar"/>
    <w:link w:val="CommentSubject"/>
    <w:uiPriority w:val="99"/>
    <w:semiHidden/>
    <w:rsid w:val="00A34D3B"/>
    <w:rPr>
      <w:b/>
      <w:bCs/>
      <w:sz w:val="20"/>
      <w:szCs w:val="20"/>
    </w:rPr>
  </w:style>
  <w:style w:type="paragraph" w:styleId="BalloonText">
    <w:name w:val="Balloon Text"/>
    <w:basedOn w:val="Normal"/>
    <w:link w:val="BalloonTextChar"/>
    <w:uiPriority w:val="99"/>
    <w:semiHidden/>
    <w:unhideWhenUsed/>
    <w:rsid w:val="00A34D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D3B"/>
    <w:rPr>
      <w:rFonts w:ascii="Segoe UI" w:hAnsi="Segoe UI" w:cs="Segoe UI"/>
      <w:sz w:val="18"/>
      <w:szCs w:val="18"/>
    </w:rPr>
  </w:style>
  <w:style w:type="table" w:styleId="TableGrid">
    <w:name w:val="Table Grid"/>
    <w:basedOn w:val="TableNormal"/>
    <w:uiPriority w:val="39"/>
    <w:rsid w:val="00791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2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9FD"/>
  </w:style>
  <w:style w:type="paragraph" w:styleId="Footer">
    <w:name w:val="footer"/>
    <w:basedOn w:val="Normal"/>
    <w:link w:val="FooterChar"/>
    <w:uiPriority w:val="99"/>
    <w:unhideWhenUsed/>
    <w:rsid w:val="00B32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9FD"/>
  </w:style>
  <w:style w:type="character" w:customStyle="1" w:styleId="Heading1Char">
    <w:name w:val="Heading 1 Char"/>
    <w:basedOn w:val="DefaultParagraphFont"/>
    <w:link w:val="Heading1"/>
    <w:uiPriority w:val="9"/>
    <w:rsid w:val="00E321CD"/>
    <w:rPr>
      <w:rFonts w:asciiTheme="majorHAnsi" w:eastAsiaTheme="majorEastAsia" w:hAnsiTheme="majorHAnsi" w:cstheme="majorBidi"/>
      <w:color w:val="1A0FA4" w:themeColor="accent1" w:themeShade="BF"/>
      <w:sz w:val="32"/>
      <w:szCs w:val="32"/>
    </w:rPr>
  </w:style>
  <w:style w:type="paragraph" w:styleId="Revision">
    <w:name w:val="Revision"/>
    <w:hidden/>
    <w:uiPriority w:val="99"/>
    <w:semiHidden/>
    <w:rsid w:val="00EA40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8500">
      <w:bodyDiv w:val="1"/>
      <w:marLeft w:val="0"/>
      <w:marRight w:val="0"/>
      <w:marTop w:val="0"/>
      <w:marBottom w:val="0"/>
      <w:divBdr>
        <w:top w:val="none" w:sz="0" w:space="0" w:color="auto"/>
        <w:left w:val="none" w:sz="0" w:space="0" w:color="auto"/>
        <w:bottom w:val="none" w:sz="0" w:space="0" w:color="auto"/>
        <w:right w:val="none" w:sz="0" w:space="0" w:color="auto"/>
      </w:divBdr>
    </w:div>
    <w:div w:id="1034110223">
      <w:bodyDiv w:val="1"/>
      <w:marLeft w:val="0"/>
      <w:marRight w:val="0"/>
      <w:marTop w:val="0"/>
      <w:marBottom w:val="0"/>
      <w:divBdr>
        <w:top w:val="none" w:sz="0" w:space="0" w:color="auto"/>
        <w:left w:val="none" w:sz="0" w:space="0" w:color="auto"/>
        <w:bottom w:val="none" w:sz="0" w:space="0" w:color="auto"/>
        <w:right w:val="none" w:sz="0" w:space="0" w:color="auto"/>
      </w:divBdr>
    </w:div>
    <w:div w:id="1490513354">
      <w:bodyDiv w:val="1"/>
      <w:marLeft w:val="0"/>
      <w:marRight w:val="0"/>
      <w:marTop w:val="0"/>
      <w:marBottom w:val="0"/>
      <w:divBdr>
        <w:top w:val="none" w:sz="0" w:space="0" w:color="auto"/>
        <w:left w:val="none" w:sz="0" w:space="0" w:color="auto"/>
        <w:bottom w:val="none" w:sz="0" w:space="0" w:color="auto"/>
        <w:right w:val="none" w:sz="0" w:space="0" w:color="auto"/>
      </w:divBdr>
    </w:div>
    <w:div w:id="1575430538">
      <w:bodyDiv w:val="1"/>
      <w:marLeft w:val="0"/>
      <w:marRight w:val="0"/>
      <w:marTop w:val="0"/>
      <w:marBottom w:val="0"/>
      <w:divBdr>
        <w:top w:val="none" w:sz="0" w:space="0" w:color="auto"/>
        <w:left w:val="none" w:sz="0" w:space="0" w:color="auto"/>
        <w:bottom w:val="none" w:sz="0" w:space="0" w:color="auto"/>
        <w:right w:val="none" w:sz="0" w:space="0" w:color="auto"/>
      </w:divBdr>
    </w:div>
    <w:div w:id="1849324135">
      <w:bodyDiv w:val="1"/>
      <w:marLeft w:val="0"/>
      <w:marRight w:val="0"/>
      <w:marTop w:val="0"/>
      <w:marBottom w:val="0"/>
      <w:divBdr>
        <w:top w:val="none" w:sz="0" w:space="0" w:color="auto"/>
        <w:left w:val="none" w:sz="0" w:space="0" w:color="auto"/>
        <w:bottom w:val="none" w:sz="0" w:space="0" w:color="auto"/>
        <w:right w:val="none" w:sz="0" w:space="0" w:color="auto"/>
      </w:divBdr>
    </w:div>
    <w:div w:id="1905483650">
      <w:bodyDiv w:val="1"/>
      <w:marLeft w:val="0"/>
      <w:marRight w:val="0"/>
      <w:marTop w:val="0"/>
      <w:marBottom w:val="0"/>
      <w:divBdr>
        <w:top w:val="none" w:sz="0" w:space="0" w:color="auto"/>
        <w:left w:val="none" w:sz="0" w:space="0" w:color="auto"/>
        <w:bottom w:val="none" w:sz="0" w:space="0" w:color="auto"/>
        <w:right w:val="none" w:sz="0" w:space="0" w:color="auto"/>
      </w:divBdr>
    </w:div>
    <w:div w:id="211663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Jacobs">
  <a:themeElements>
    <a:clrScheme name="Jacobs">
      <a:dk1>
        <a:srgbClr val="000000"/>
      </a:dk1>
      <a:lt1>
        <a:srgbClr val="FFFFFF"/>
      </a:lt1>
      <a:dk2>
        <a:srgbClr val="333333"/>
      </a:dk2>
      <a:lt2>
        <a:srgbClr val="E5E5E5"/>
      </a:lt2>
      <a:accent1>
        <a:srgbClr val="2314DC"/>
      </a:accent1>
      <a:accent2>
        <a:srgbClr val="6F006E"/>
      </a:accent2>
      <a:accent3>
        <a:srgbClr val="D72850"/>
      </a:accent3>
      <a:accent4>
        <a:srgbClr val="FFA014"/>
      </a:accent4>
      <a:accent5>
        <a:srgbClr val="007D55"/>
      </a:accent5>
      <a:accent6>
        <a:srgbClr val="C8C8C8"/>
      </a:accent6>
      <a:hlink>
        <a:srgbClr val="2314DC"/>
      </a:hlink>
      <a:folHlink>
        <a:srgbClr val="FF8714"/>
      </a:folHlink>
    </a:clrScheme>
    <a:fontScheme name="Jacob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d9320a93-a9f0-4135-97e0-380ac3311a04">W2DYDCZSR3KP-599401305-18704</_dlc_DocId>
    <_dlc_DocIdUrl xmlns="d9320a93-a9f0-4135-97e0-380ac3311a04">
      <Url>https://sitesreservoirproject.sharepoint.com/EnvPlanning/_layouts/15/DocIdRedir.aspx?ID=W2DYDCZSR3KP-599401305-18704</Url>
      <Description>W2DYDCZSR3KP-599401305-18704</Description>
    </_dlc_DocIdUrl>
    <lcf76f155ced4ddcb4097134ff3c332f xmlns="5b684c87-f0ae-43da-89ec-f872daee15c5">
      <Terms xmlns="http://schemas.microsoft.com/office/infopath/2007/PartnerControls"/>
    </lcf76f155ced4ddcb4097134ff3c332f>
    <TaxCatchAll xmlns="d9320a93-a9f0-4135-97e0-380ac3311a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3C9F72D8CE3164E9E00598FF5FB7504" ma:contentTypeVersion="16" ma:contentTypeDescription="Create a new document." ma:contentTypeScope="" ma:versionID="ed6e46ea5ce0f3b3addca53e66f76780">
  <xsd:schema xmlns:xsd="http://www.w3.org/2001/XMLSchema" xmlns:xs="http://www.w3.org/2001/XMLSchema" xmlns:p="http://schemas.microsoft.com/office/2006/metadata/properties" xmlns:ns2="5b684c87-f0ae-43da-89ec-f872daee15c5" xmlns:ns3="d9320a93-a9f0-4135-97e0-380ac3311a04" targetNamespace="http://schemas.microsoft.com/office/2006/metadata/properties" ma:root="true" ma:fieldsID="161bd695c2c89c00e377405a4abdf06d" ns2:_="" ns3:_="">
    <xsd:import namespace="5b684c87-f0ae-43da-89ec-f872daee15c5"/>
    <xsd:import namespace="d9320a93-a9f0-4135-97e0-380ac3311a0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684c87-f0ae-43da-89ec-f872daee15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b67e9b-c4e4-4b3c-a037-e57c4b497c8a"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20a93-a9f0-4135-97e0-380ac3311a0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f92a911-49a9-4262-9015-a0e2183af27b}" ma:internalName="TaxCatchAll" ma:showField="CatchAllData" ma:web="d9320a93-a9f0-4135-97e0-380ac3311a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85B28-0306-4103-A25C-3767C7A3E8D9}">
  <ds:schemaRefs>
    <ds:schemaRef ds:uri="http://schemas.microsoft.com/sharepoint/v3/contenttype/forms"/>
  </ds:schemaRefs>
</ds:datastoreItem>
</file>

<file path=customXml/itemProps2.xml><?xml version="1.0" encoding="utf-8"?>
<ds:datastoreItem xmlns:ds="http://schemas.openxmlformats.org/officeDocument/2006/customXml" ds:itemID="{97E4210C-5710-41C4-8D91-4159A7841C6A}">
  <ds:schemaRefs>
    <ds:schemaRef ds:uri="http://schemas.microsoft.com/sharepoint/events"/>
  </ds:schemaRefs>
</ds:datastoreItem>
</file>

<file path=customXml/itemProps3.xml><?xml version="1.0" encoding="utf-8"?>
<ds:datastoreItem xmlns:ds="http://schemas.openxmlformats.org/officeDocument/2006/customXml" ds:itemID="{FE684A27-056A-4A37-9ADD-3D60CABAA97B}">
  <ds:schemaRefs>
    <ds:schemaRef ds:uri="http://purl.org/dc/elements/1.1/"/>
    <ds:schemaRef ds:uri="73557df1-9c4f-4e4f-b578-0c3396ac159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d9320a93-a9f0-4135-97e0-380ac3311a04"/>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545C558-0E4C-4F83-9789-D2573A4A1EBF}"/>
</file>

<file path=customXml/itemProps5.xml><?xml version="1.0" encoding="utf-8"?>
<ds:datastoreItem xmlns:ds="http://schemas.openxmlformats.org/officeDocument/2006/customXml" ds:itemID="{6ADEEA83-462D-4380-B972-1602E144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1912</Words>
  <Characters>10902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Micko, Steve/SAC</dc:creator>
  <cp:keywords/>
  <dc:description/>
  <cp:lastModifiedBy>Spranza, John</cp:lastModifiedBy>
  <cp:revision>2</cp:revision>
  <cp:lastPrinted>2020-04-15T23:22:00Z</cp:lastPrinted>
  <dcterms:created xsi:type="dcterms:W3CDTF">2020-07-20T16:46:00Z</dcterms:created>
  <dcterms:modified xsi:type="dcterms:W3CDTF">2020-07-20T16:46:00Z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0x01010013C9F72D8CE3164E9E00598FF5FB7504</vt:lpwstr>
  </property>
  <property fmtid="{D5CDD505-2E9C-101B-9397-08002B2CF9AE}" pid="3" name="_dlc_DocIdItemGuid">
    <vt:lpwstr>bced85ef-8157-44ef-a3b5-2eb65b516916</vt:lpwstr>
  </property>
</Properties>
</file>